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930" w:type="dxa"/>
        <w:tblInd w:w="274" w:type="dxa"/>
        <w:tblCellMar>
          <w:left w:w="0" w:type="dxa"/>
          <w:right w:w="0" w:type="dxa"/>
        </w:tblCellMar>
        <w:tblLook w:val="04A0" w:firstRow="1" w:lastRow="0" w:firstColumn="1" w:lastColumn="0" w:noHBand="0" w:noVBand="1"/>
      </w:tblPr>
      <w:tblGrid>
        <w:gridCol w:w="1994"/>
        <w:gridCol w:w="6936"/>
      </w:tblGrid>
      <w:tr w:rsidR="00415B04" w14:paraId="758B6AA4" w14:textId="77777777" w:rsidTr="00415B04">
        <w:tc>
          <w:tcPr>
            <w:tcW w:w="19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9E2CDEB" w14:textId="77777777" w:rsidR="00415B04" w:rsidRDefault="00415B04">
            <w:pPr>
              <w:autoSpaceDE w:val="0"/>
              <w:autoSpaceDN w:val="0"/>
              <w:spacing w:line="360" w:lineRule="auto"/>
              <w:rPr>
                <w:sz w:val="24"/>
                <w:szCs w:val="24"/>
              </w:rPr>
            </w:pPr>
            <w:r>
              <w:rPr>
                <w:sz w:val="24"/>
                <w:szCs w:val="24"/>
              </w:rPr>
              <w:t>Date</w:t>
            </w:r>
          </w:p>
        </w:tc>
        <w:tc>
          <w:tcPr>
            <w:tcW w:w="6936"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4D028A96" w14:textId="5FBAD4D4" w:rsidR="00415B04" w:rsidRDefault="00ED43C0">
            <w:pPr>
              <w:autoSpaceDE w:val="0"/>
              <w:autoSpaceDN w:val="0"/>
              <w:spacing w:line="360" w:lineRule="auto"/>
              <w:rPr>
                <w:sz w:val="24"/>
                <w:szCs w:val="24"/>
              </w:rPr>
            </w:pPr>
            <w:r>
              <w:rPr>
                <w:sz w:val="24"/>
                <w:szCs w:val="24"/>
              </w:rPr>
              <w:t>20</w:t>
            </w:r>
            <w:r w:rsidR="001155F6">
              <w:rPr>
                <w:sz w:val="24"/>
                <w:szCs w:val="24"/>
              </w:rPr>
              <w:t>.02.19</w:t>
            </w:r>
          </w:p>
        </w:tc>
      </w:tr>
      <w:tr w:rsidR="00415B04" w14:paraId="17ECD360"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08700BB" w14:textId="77777777" w:rsidR="00415B04" w:rsidRDefault="00415B04">
            <w:pPr>
              <w:autoSpaceDE w:val="0"/>
              <w:autoSpaceDN w:val="0"/>
              <w:spacing w:line="360" w:lineRule="auto"/>
              <w:rPr>
                <w:sz w:val="24"/>
                <w:szCs w:val="24"/>
              </w:rPr>
            </w:pPr>
            <w:r>
              <w:rPr>
                <w:sz w:val="24"/>
                <w:szCs w:val="24"/>
              </w:rPr>
              <w:t>Job number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5633AFD1" w14:textId="320E9DD1" w:rsidR="00415B04" w:rsidRDefault="001155F6">
            <w:pPr>
              <w:autoSpaceDE w:val="0"/>
              <w:autoSpaceDN w:val="0"/>
              <w:spacing w:line="360" w:lineRule="auto"/>
              <w:rPr>
                <w:sz w:val="24"/>
                <w:szCs w:val="24"/>
              </w:rPr>
            </w:pPr>
            <w:r>
              <w:rPr>
                <w:sz w:val="24"/>
                <w:szCs w:val="24"/>
              </w:rPr>
              <w:t>DEUEN19-011</w:t>
            </w:r>
          </w:p>
        </w:tc>
      </w:tr>
      <w:tr w:rsidR="00415B04" w14:paraId="2171868A"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375BEC6" w14:textId="77777777" w:rsidR="00415B04" w:rsidRDefault="00415B04">
            <w:pPr>
              <w:autoSpaceDE w:val="0"/>
              <w:autoSpaceDN w:val="0"/>
              <w:spacing w:line="360" w:lineRule="auto"/>
              <w:rPr>
                <w:sz w:val="24"/>
                <w:szCs w:val="24"/>
              </w:rPr>
            </w:pPr>
            <w:r>
              <w:rPr>
                <w:sz w:val="24"/>
                <w:szCs w:val="24"/>
              </w:rPr>
              <w:t>Job description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072494EA" w14:textId="01856266" w:rsidR="00415B04" w:rsidRDefault="001155F6">
            <w:pPr>
              <w:autoSpaceDE w:val="0"/>
              <w:autoSpaceDN w:val="0"/>
              <w:spacing w:line="360" w:lineRule="auto"/>
              <w:rPr>
                <w:sz w:val="24"/>
                <w:szCs w:val="24"/>
              </w:rPr>
            </w:pPr>
            <w:r>
              <w:rPr>
                <w:sz w:val="24"/>
                <w:szCs w:val="24"/>
              </w:rPr>
              <w:t>Launch – VRV IV+</w:t>
            </w:r>
          </w:p>
        </w:tc>
      </w:tr>
      <w:tr w:rsidR="00415B04" w14:paraId="2879A0C0"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B431215" w14:textId="77777777" w:rsidR="00415B04" w:rsidRDefault="00415B04">
            <w:pPr>
              <w:autoSpaceDE w:val="0"/>
              <w:autoSpaceDN w:val="0"/>
              <w:spacing w:line="360" w:lineRule="auto"/>
              <w:rPr>
                <w:sz w:val="24"/>
                <w:szCs w:val="24"/>
              </w:rPr>
            </w:pPr>
            <w:r>
              <w:rPr>
                <w:sz w:val="24"/>
                <w:szCs w:val="24"/>
              </w:rPr>
              <w:t>Category</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77198113" w14:textId="5F890C61" w:rsidR="00415B04" w:rsidRDefault="001155F6">
            <w:pPr>
              <w:autoSpaceDE w:val="0"/>
              <w:autoSpaceDN w:val="0"/>
              <w:spacing w:line="360" w:lineRule="auto"/>
              <w:rPr>
                <w:sz w:val="24"/>
                <w:szCs w:val="24"/>
              </w:rPr>
            </w:pPr>
            <w:r>
              <w:rPr>
                <w:sz w:val="24"/>
                <w:szCs w:val="24"/>
              </w:rPr>
              <w:t>Press Release</w:t>
            </w:r>
          </w:p>
        </w:tc>
      </w:tr>
      <w:tr w:rsidR="00415B04" w14:paraId="43AB6C1F"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D18C07D" w14:textId="77777777" w:rsidR="00415B04" w:rsidRDefault="00415B04">
            <w:pPr>
              <w:autoSpaceDE w:val="0"/>
              <w:autoSpaceDN w:val="0"/>
              <w:spacing w:line="360" w:lineRule="auto"/>
              <w:rPr>
                <w:sz w:val="24"/>
                <w:szCs w:val="24"/>
              </w:rPr>
            </w:pPr>
            <w:r>
              <w:rPr>
                <w:sz w:val="24"/>
                <w:szCs w:val="24"/>
              </w:rPr>
              <w:t xml:space="preserve">Audience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199D53FA" w14:textId="41749BA2" w:rsidR="00415B04" w:rsidRDefault="001155F6">
            <w:pPr>
              <w:spacing w:line="360" w:lineRule="auto"/>
              <w:rPr>
                <w:sz w:val="24"/>
                <w:szCs w:val="24"/>
              </w:rPr>
            </w:pPr>
            <w:r>
              <w:rPr>
                <w:sz w:val="24"/>
                <w:szCs w:val="24"/>
              </w:rPr>
              <w:t>Installers &amp; contractors</w:t>
            </w:r>
            <w:r w:rsidR="00A95406">
              <w:rPr>
                <w:sz w:val="24"/>
                <w:szCs w:val="24"/>
              </w:rPr>
              <w:t>, building engineers, energy consultants, facilities managers</w:t>
            </w:r>
          </w:p>
        </w:tc>
      </w:tr>
      <w:tr w:rsidR="00415B04" w14:paraId="2E655AAD"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25FB3FC" w14:textId="77777777" w:rsidR="00415B04" w:rsidRDefault="00415B04">
            <w:pPr>
              <w:autoSpaceDE w:val="0"/>
              <w:autoSpaceDN w:val="0"/>
              <w:spacing w:line="360" w:lineRule="auto"/>
              <w:rPr>
                <w:sz w:val="24"/>
                <w:szCs w:val="24"/>
              </w:rPr>
            </w:pPr>
            <w:r>
              <w:rPr>
                <w:sz w:val="24"/>
                <w:szCs w:val="24"/>
              </w:rPr>
              <w:t xml:space="preserve">Sectors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4C889267" w14:textId="3A088DDD" w:rsidR="00415B04" w:rsidRDefault="001155F6">
            <w:pPr>
              <w:spacing w:line="360" w:lineRule="auto"/>
              <w:rPr>
                <w:sz w:val="24"/>
                <w:szCs w:val="24"/>
              </w:rPr>
            </w:pPr>
            <w:r>
              <w:rPr>
                <w:sz w:val="24"/>
                <w:szCs w:val="24"/>
              </w:rPr>
              <w:t>Commercial, hotels</w:t>
            </w:r>
            <w:r w:rsidR="00F70AFD">
              <w:rPr>
                <w:sz w:val="24"/>
                <w:szCs w:val="24"/>
              </w:rPr>
              <w:t xml:space="preserve"> &amp; leisure</w:t>
            </w:r>
            <w:r>
              <w:rPr>
                <w:sz w:val="24"/>
                <w:szCs w:val="24"/>
              </w:rPr>
              <w:t>, retail</w:t>
            </w:r>
          </w:p>
        </w:tc>
      </w:tr>
      <w:tr w:rsidR="00415B04" w14:paraId="651C6FF6"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1546FD9" w14:textId="77777777" w:rsidR="00415B04" w:rsidRDefault="00415B04">
            <w:pPr>
              <w:autoSpaceDE w:val="0"/>
              <w:autoSpaceDN w:val="0"/>
              <w:spacing w:line="360" w:lineRule="auto"/>
              <w:rPr>
                <w:sz w:val="24"/>
                <w:szCs w:val="24"/>
              </w:rPr>
            </w:pPr>
            <w:r>
              <w:rPr>
                <w:sz w:val="24"/>
                <w:szCs w:val="24"/>
              </w:rPr>
              <w:t xml:space="preserve">Tags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1F5398DF" w14:textId="34CE4F6F" w:rsidR="00415B04" w:rsidRDefault="001155F6">
            <w:pPr>
              <w:spacing w:line="360" w:lineRule="auto"/>
              <w:rPr>
                <w:sz w:val="24"/>
                <w:szCs w:val="24"/>
              </w:rPr>
            </w:pPr>
            <w:r>
              <w:rPr>
                <w:sz w:val="24"/>
                <w:szCs w:val="24"/>
              </w:rPr>
              <w:t>VRV IV, total climate control, seasonal efficiency, Lot21,</w:t>
            </w:r>
            <w:r w:rsidR="005F741C">
              <w:rPr>
                <w:sz w:val="24"/>
                <w:szCs w:val="24"/>
              </w:rPr>
              <w:t xml:space="preserve"> </w:t>
            </w:r>
            <w:r>
              <w:rPr>
                <w:sz w:val="24"/>
                <w:szCs w:val="24"/>
              </w:rPr>
              <w:t>ErP</w:t>
            </w:r>
          </w:p>
        </w:tc>
      </w:tr>
      <w:tr w:rsidR="00415B04" w14:paraId="18E52744"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F002A9E" w14:textId="77777777" w:rsidR="00415B04" w:rsidRDefault="00415B04">
            <w:pPr>
              <w:autoSpaceDE w:val="0"/>
              <w:autoSpaceDN w:val="0"/>
              <w:spacing w:line="360" w:lineRule="auto"/>
              <w:rPr>
                <w:sz w:val="24"/>
                <w:szCs w:val="24"/>
              </w:rPr>
            </w:pPr>
            <w:r>
              <w:rPr>
                <w:sz w:val="24"/>
                <w:szCs w:val="24"/>
              </w:rPr>
              <w:t xml:space="preserve">Tweet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146F9CF5" w14:textId="6ACB4405" w:rsidR="00415B04" w:rsidRDefault="001155F6">
            <w:pPr>
              <w:spacing w:line="360" w:lineRule="auto"/>
              <w:rPr>
                <w:sz w:val="24"/>
                <w:szCs w:val="24"/>
              </w:rPr>
            </w:pPr>
            <w:r>
              <w:rPr>
                <w:sz w:val="24"/>
                <w:szCs w:val="24"/>
              </w:rPr>
              <w:t>The most intelligent #VRV system ever from @Daikin just got even better!</w:t>
            </w:r>
          </w:p>
        </w:tc>
      </w:tr>
      <w:tr w:rsidR="00415B04" w14:paraId="7A5DF16B"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A202163" w14:textId="77777777" w:rsidR="00415B04" w:rsidRDefault="00415B04">
            <w:pPr>
              <w:autoSpaceDE w:val="0"/>
              <w:autoSpaceDN w:val="0"/>
              <w:spacing w:line="360" w:lineRule="auto"/>
              <w:rPr>
                <w:sz w:val="24"/>
                <w:szCs w:val="24"/>
              </w:rPr>
            </w:pPr>
            <w:r>
              <w:rPr>
                <w:sz w:val="24"/>
                <w:szCs w:val="24"/>
              </w:rPr>
              <w:t>Version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2DADA9F5" w14:textId="26B24F06" w:rsidR="00415B04" w:rsidRDefault="0081295C">
            <w:pPr>
              <w:autoSpaceDE w:val="0"/>
              <w:autoSpaceDN w:val="0"/>
              <w:spacing w:line="360" w:lineRule="auto"/>
              <w:rPr>
                <w:sz w:val="24"/>
                <w:szCs w:val="24"/>
              </w:rPr>
            </w:pPr>
            <w:r>
              <w:rPr>
                <w:sz w:val="24"/>
                <w:szCs w:val="24"/>
              </w:rPr>
              <w:t>V4.0</w:t>
            </w:r>
          </w:p>
        </w:tc>
      </w:tr>
      <w:tr w:rsidR="00415B04" w14:paraId="20882CBB"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10398C6" w14:textId="77777777" w:rsidR="00415B04" w:rsidRDefault="00415B04">
            <w:pPr>
              <w:autoSpaceDE w:val="0"/>
              <w:autoSpaceDN w:val="0"/>
              <w:spacing w:line="360" w:lineRule="auto"/>
              <w:rPr>
                <w:sz w:val="24"/>
                <w:szCs w:val="24"/>
              </w:rPr>
            </w:pPr>
            <w:r>
              <w:rPr>
                <w:sz w:val="24"/>
                <w:szCs w:val="24"/>
              </w:rPr>
              <w:t>Owner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0208A3FF" w14:textId="54EC88EB" w:rsidR="00415B04" w:rsidRDefault="001155F6">
            <w:pPr>
              <w:spacing w:line="360" w:lineRule="auto"/>
              <w:ind w:right="1406"/>
              <w:rPr>
                <w:sz w:val="24"/>
                <w:szCs w:val="24"/>
                <w:lang w:val="en"/>
              </w:rPr>
            </w:pPr>
            <w:r>
              <w:rPr>
                <w:sz w:val="24"/>
                <w:szCs w:val="24"/>
                <w:lang w:val="en"/>
              </w:rPr>
              <w:t>Gill DeBruyne</w:t>
            </w:r>
          </w:p>
        </w:tc>
      </w:tr>
    </w:tbl>
    <w:p w14:paraId="2C2BD45A" w14:textId="77777777" w:rsidR="00415B04" w:rsidRDefault="00415B04">
      <w:pPr>
        <w:rPr>
          <w:rFonts w:eastAsia="MS Mincho" w:cs="Times New Roman"/>
          <w:iCs/>
          <w:color w:val="0083C1" w:themeColor="background1"/>
          <w:kern w:val="32"/>
          <w:sz w:val="36"/>
          <w:szCs w:val="28"/>
          <w:lang w:val="en-GB"/>
        </w:rPr>
      </w:pPr>
      <w:r>
        <w:br w:type="page"/>
      </w:r>
    </w:p>
    <w:p w14:paraId="1798CBAC" w14:textId="2E696B60" w:rsidR="00A85708" w:rsidRDefault="003B066D" w:rsidP="00A85708">
      <w:pPr>
        <w:pStyle w:val="Headline"/>
      </w:pPr>
      <w:r>
        <w:lastRenderedPageBreak/>
        <w:t xml:space="preserve">Daikin’s VRV IV technology continues to </w:t>
      </w:r>
      <w:r w:rsidR="00A85708">
        <w:t>set</w:t>
      </w:r>
      <w:r w:rsidR="00A85708" w:rsidRPr="00A85708">
        <w:t xml:space="preserve"> the benchmark for intelligent efficiency</w:t>
      </w:r>
    </w:p>
    <w:p w14:paraId="0FE30849" w14:textId="64772A01" w:rsidR="005250A2" w:rsidRDefault="001B0667" w:rsidP="009B6529">
      <w:pPr>
        <w:pStyle w:val="BodyCopy"/>
      </w:pPr>
      <w:r>
        <w:fldChar w:fldCharType="begin"/>
      </w:r>
      <w:r>
        <w:instrText xml:space="preserve"> DATE \@ "MMMM d, yyyy" </w:instrText>
      </w:r>
      <w:r>
        <w:fldChar w:fldCharType="separate"/>
      </w:r>
      <w:r w:rsidR="00196E8F">
        <w:rPr>
          <w:noProof/>
        </w:rPr>
        <w:t>February 21, 2019</w:t>
      </w:r>
      <w:r>
        <w:fldChar w:fldCharType="end"/>
      </w:r>
    </w:p>
    <w:p w14:paraId="13C189D3" w14:textId="77777777" w:rsidR="006A5B5D" w:rsidRDefault="006A5B5D" w:rsidP="006A5B5D"/>
    <w:p w14:paraId="02D12B10" w14:textId="6EE850D9" w:rsidR="00137D26" w:rsidRPr="00F57259" w:rsidRDefault="00455BBB" w:rsidP="00F57259">
      <w:pPr>
        <w:pStyle w:val="Introduction"/>
      </w:pPr>
      <w:r w:rsidRPr="00F57259">
        <w:t>Daikin unveils the latest development</w:t>
      </w:r>
      <w:r w:rsidR="00457552" w:rsidRPr="00F57259">
        <w:t>s</w:t>
      </w:r>
      <w:r w:rsidRPr="00F57259">
        <w:t xml:space="preserve"> in </w:t>
      </w:r>
      <w:r w:rsidR="00457552" w:rsidRPr="00F57259">
        <w:t xml:space="preserve">its </w:t>
      </w:r>
      <w:r w:rsidRPr="00F57259">
        <w:t>VRV IV</w:t>
      </w:r>
      <w:r w:rsidR="00457552" w:rsidRPr="00F57259">
        <w:t xml:space="preserve"> </w:t>
      </w:r>
      <w:r w:rsidRPr="00F57259">
        <w:t>technology</w:t>
      </w:r>
      <w:r w:rsidR="00457552" w:rsidRPr="00F57259">
        <w:t xml:space="preserve"> with the launch of the </w:t>
      </w:r>
      <w:r w:rsidR="003B066D" w:rsidRPr="00F57259">
        <w:t xml:space="preserve">new </w:t>
      </w:r>
      <w:r w:rsidR="00457552" w:rsidRPr="00F57259">
        <w:t>VRV</w:t>
      </w:r>
      <w:r w:rsidR="00ED43C0">
        <w:t xml:space="preserve"> IV</w:t>
      </w:r>
      <w:r w:rsidR="00457552" w:rsidRPr="00F57259">
        <w:t>+ series</w:t>
      </w:r>
      <w:r w:rsidR="00D55C54" w:rsidRPr="00F57259">
        <w:t>.</w:t>
      </w:r>
    </w:p>
    <w:p w14:paraId="7559EDB4" w14:textId="6A65FCE2" w:rsidR="00322445" w:rsidRPr="00F57259" w:rsidRDefault="003B066D" w:rsidP="00F57259">
      <w:pPr>
        <w:pStyle w:val="BodyCopy"/>
      </w:pPr>
      <w:r w:rsidRPr="00F57259">
        <w:t xml:space="preserve">When it was introduced in 2012, Daikin’s pioneering revolutionary VRV IV system </w:t>
      </w:r>
      <w:r w:rsidR="002F0C85" w:rsidRPr="00F57259">
        <w:t>set a new standard in the industry</w:t>
      </w:r>
      <w:r w:rsidRPr="00F57259">
        <w:t xml:space="preserve">, introducing new levels of </w:t>
      </w:r>
      <w:r w:rsidR="00C348C8" w:rsidRPr="00F57259">
        <w:t xml:space="preserve">seasonal </w:t>
      </w:r>
      <w:r w:rsidRPr="00F57259">
        <w:t xml:space="preserve">efficiency and comfort. Offering </w:t>
      </w:r>
      <w:r w:rsidR="00322445" w:rsidRPr="00F57259">
        <w:t xml:space="preserve">an integrated solution </w:t>
      </w:r>
      <w:r w:rsidRPr="00F57259">
        <w:t>to cover multiple applications, its design simplicity, flexible configuration,</w:t>
      </w:r>
      <w:r w:rsidR="005C65AA" w:rsidRPr="00F57259">
        <w:t xml:space="preserve"> combined with</w:t>
      </w:r>
      <w:r w:rsidRPr="00F57259">
        <w:t xml:space="preserve"> ease of installation and </w:t>
      </w:r>
      <w:r w:rsidR="005C65AA" w:rsidRPr="00F57259">
        <w:t>commissioning, continues</w:t>
      </w:r>
      <w:r w:rsidR="00322445" w:rsidRPr="00F57259">
        <w:t xml:space="preserve"> to position Daikin </w:t>
      </w:r>
      <w:r w:rsidR="00C348C8" w:rsidRPr="00F57259">
        <w:t>a</w:t>
      </w:r>
      <w:r w:rsidR="00FD592D" w:rsidRPr="00F57259">
        <w:t xml:space="preserve">s </w:t>
      </w:r>
      <w:r w:rsidR="00322445" w:rsidRPr="00F57259">
        <w:t xml:space="preserve">the </w:t>
      </w:r>
      <w:r w:rsidR="00ED43C0">
        <w:t xml:space="preserve">best </w:t>
      </w:r>
      <w:r w:rsidR="00C348C8" w:rsidRPr="00F57259">
        <w:t>partner of choice for climate control</w:t>
      </w:r>
      <w:r w:rsidR="00322445" w:rsidRPr="00F57259">
        <w:t>, with over 220,000 VRV IV units sold since its launch.</w:t>
      </w:r>
    </w:p>
    <w:p w14:paraId="2D6DBC43" w14:textId="21A97CC4" w:rsidR="00391849" w:rsidRPr="00F57259" w:rsidRDefault="00924CBA" w:rsidP="00F57259">
      <w:pPr>
        <w:pStyle w:val="BodyCopy"/>
      </w:pPr>
      <w:r>
        <w:t>Advanced</w:t>
      </w:r>
      <w:r w:rsidRPr="00F57259">
        <w:t xml:space="preserve"> </w:t>
      </w:r>
      <w:r w:rsidR="00592713" w:rsidRPr="00F57259">
        <w:t>research and development have ensured Daikin’s VRV</w:t>
      </w:r>
      <w:r w:rsidR="00C348C8" w:rsidRPr="00F57259">
        <w:t xml:space="preserve"> </w:t>
      </w:r>
      <w:r w:rsidR="00592713" w:rsidRPr="00F57259">
        <w:t xml:space="preserve">IV technology remains unmatched. </w:t>
      </w:r>
      <w:r>
        <w:t>F</w:t>
      </w:r>
      <w:r w:rsidR="00592713" w:rsidRPr="00F57259">
        <w:t xml:space="preserve">eatures </w:t>
      </w:r>
      <w:r w:rsidR="00322445" w:rsidRPr="00F57259">
        <w:t xml:space="preserve">such Variable Refrigerant </w:t>
      </w:r>
      <w:r w:rsidR="00ED43C0">
        <w:t xml:space="preserve">Temperature (VRT) </w:t>
      </w:r>
      <w:r w:rsidR="00322445" w:rsidRPr="00F57259">
        <w:t>Technolog</w:t>
      </w:r>
      <w:r w:rsidR="00FD592D" w:rsidRPr="00F57259">
        <w:t>y</w:t>
      </w:r>
      <w:r w:rsidR="00592713" w:rsidRPr="00F57259">
        <w:t>,</w:t>
      </w:r>
      <w:r w:rsidR="00322445" w:rsidRPr="00F57259">
        <w:t xml:space="preserve"> </w:t>
      </w:r>
      <w:r w:rsidR="00FD592D" w:rsidRPr="00F57259">
        <w:t>which aut</w:t>
      </w:r>
      <w:r w:rsidR="00C174E5" w:rsidRPr="00F57259">
        <w:t>o</w:t>
      </w:r>
      <w:r w:rsidR="00FD592D" w:rsidRPr="00F57259">
        <w:t>matically adjusts</w:t>
      </w:r>
      <w:r w:rsidR="00322445" w:rsidRPr="00F57259">
        <w:t xml:space="preserve"> temperatures </w:t>
      </w:r>
      <w:r w:rsidR="00FD592D" w:rsidRPr="00F57259">
        <w:t>in line with loads</w:t>
      </w:r>
      <w:r w:rsidR="00ED43C0">
        <w:t xml:space="preserve"> and ambient temperature</w:t>
      </w:r>
      <w:r w:rsidR="00FD592D" w:rsidRPr="00F57259">
        <w:t xml:space="preserve">, while the </w:t>
      </w:r>
      <w:r>
        <w:t>continuous</w:t>
      </w:r>
      <w:r w:rsidRPr="00F57259">
        <w:t xml:space="preserve"> </w:t>
      </w:r>
      <w:r w:rsidR="00831CC3" w:rsidRPr="00F57259">
        <w:t>heating during defrost</w:t>
      </w:r>
      <w:r w:rsidR="00FD592D" w:rsidRPr="00F57259">
        <w:t xml:space="preserve"> technology</w:t>
      </w:r>
      <w:r w:rsidR="00322445" w:rsidRPr="00F57259">
        <w:t xml:space="preserve"> </w:t>
      </w:r>
      <w:r w:rsidR="00FD592D" w:rsidRPr="00F57259">
        <w:t xml:space="preserve">eliminates </w:t>
      </w:r>
      <w:r w:rsidR="00322445" w:rsidRPr="00F57259">
        <w:t>temperature drops</w:t>
      </w:r>
      <w:r w:rsidR="00FD592D" w:rsidRPr="00F57259">
        <w:t xml:space="preserve"> during defrosting</w:t>
      </w:r>
      <w:r w:rsidR="003B27CB" w:rsidRPr="00F57259">
        <w:t xml:space="preserve">. Further system developments swiftly </w:t>
      </w:r>
      <w:r w:rsidR="00322445" w:rsidRPr="00F57259">
        <w:t>followed</w:t>
      </w:r>
      <w:r w:rsidR="003B27CB" w:rsidRPr="00F57259">
        <w:t xml:space="preserve">, such as </w:t>
      </w:r>
      <w:r w:rsidR="00592713" w:rsidRPr="00F57259">
        <w:t xml:space="preserve">the introduction of </w:t>
      </w:r>
      <w:r w:rsidR="00ED43C0">
        <w:t>ranges</w:t>
      </w:r>
      <w:r w:rsidR="00322445" w:rsidRPr="00F57259">
        <w:t xml:space="preserve"> including heat pump, heat recovery, cold climate and water-cooled models</w:t>
      </w:r>
      <w:r w:rsidR="00592713" w:rsidRPr="00F57259">
        <w:t>.</w:t>
      </w:r>
      <w:r w:rsidR="00A37E71" w:rsidRPr="00F57259">
        <w:t xml:space="preserve"> </w:t>
      </w:r>
      <w:r w:rsidR="00FD592D" w:rsidRPr="00F57259">
        <w:t>With the</w:t>
      </w:r>
      <w:r w:rsidR="00A37E71" w:rsidRPr="00F57259">
        <w:t xml:space="preserve"> </w:t>
      </w:r>
      <w:r w:rsidR="00C20E38">
        <w:t>launch</w:t>
      </w:r>
      <w:r w:rsidR="00A37E71" w:rsidRPr="00F57259">
        <w:t xml:space="preserve"> of the new VRV IV+ series, Daikin has once again raised the bar</w:t>
      </w:r>
      <w:r w:rsidR="003E02F3" w:rsidRPr="00F57259">
        <w:t xml:space="preserve">.  </w:t>
      </w:r>
      <w:r w:rsidR="00ED43C0">
        <w:t>At the</w:t>
      </w:r>
      <w:r w:rsidR="008D4570" w:rsidRPr="00F57259">
        <w:t xml:space="preserve"> heart of the </w:t>
      </w:r>
      <w:r w:rsidR="00ED43C0">
        <w:t xml:space="preserve">latest </w:t>
      </w:r>
      <w:r w:rsidR="008D4570" w:rsidRPr="00F57259">
        <w:t>system</w:t>
      </w:r>
      <w:r w:rsidR="00ED43C0">
        <w:t>, the compressor has been completely redesigned</w:t>
      </w:r>
      <w:r w:rsidR="00A37E71" w:rsidRPr="00F57259">
        <w:t xml:space="preserve"> </w:t>
      </w:r>
      <w:r w:rsidR="00FD592D" w:rsidRPr="00F57259">
        <w:t>applying the latest technologies</w:t>
      </w:r>
      <w:r>
        <w:t>.</w:t>
      </w:r>
      <w:r w:rsidR="003B066D" w:rsidRPr="00F57259">
        <w:t xml:space="preserve"> </w:t>
      </w:r>
    </w:p>
    <w:p w14:paraId="65DC19B3" w14:textId="5F86B40B" w:rsidR="00391849" w:rsidRDefault="0069691E" w:rsidP="006A5B5D">
      <w:pPr>
        <w:pStyle w:val="Subheading"/>
      </w:pPr>
      <w:r>
        <w:t>Seasonal Efficiency explained</w:t>
      </w:r>
    </w:p>
    <w:p w14:paraId="1EEF740D" w14:textId="17BE7F96" w:rsidR="00014241" w:rsidRDefault="000060AC" w:rsidP="00F57259">
      <w:pPr>
        <w:pStyle w:val="BodyCopy"/>
      </w:pPr>
      <w:r w:rsidRPr="000060AC">
        <w:t xml:space="preserve">With </w:t>
      </w:r>
      <w:r w:rsidR="006169E2">
        <w:t>buildings</w:t>
      </w:r>
      <w:r w:rsidRPr="000060AC">
        <w:t xml:space="preserve"> accounting for 40% of the European Union’s (EU) total energy consumption, delivering low carbon buildings is key to meeting </w:t>
      </w:r>
      <w:r w:rsidR="006169E2">
        <w:t xml:space="preserve">the </w:t>
      </w:r>
      <w:r w:rsidRPr="000060AC">
        <w:t>EU</w:t>
      </w:r>
      <w:r w:rsidR="006169E2">
        <w:t>’s challenging</w:t>
      </w:r>
      <w:r w:rsidRPr="000060AC">
        <w:t xml:space="preserve"> energy targets</w:t>
      </w:r>
      <w:r>
        <w:t>.</w:t>
      </w:r>
      <w:r w:rsidR="002F0C85">
        <w:t xml:space="preserve"> </w:t>
      </w:r>
      <w:r w:rsidR="00E85D81">
        <w:t>I</w:t>
      </w:r>
      <w:r w:rsidR="002F0C85">
        <w:t>t is important</w:t>
      </w:r>
      <w:r w:rsidR="00E85D81">
        <w:t xml:space="preserve"> therefore,</w:t>
      </w:r>
      <w:r w:rsidR="002F0C85">
        <w:t xml:space="preserve"> that designers have access to real life</w:t>
      </w:r>
      <w:r w:rsidR="00924CBA">
        <w:t>, seasonal</w:t>
      </w:r>
      <w:r w:rsidR="002F0C85">
        <w:t xml:space="preserve"> </w:t>
      </w:r>
      <w:r w:rsidR="00924CBA">
        <w:t>efficiency data</w:t>
      </w:r>
      <w:r w:rsidR="002F0C85">
        <w:t>.</w:t>
      </w:r>
    </w:p>
    <w:p w14:paraId="7C81B0DF" w14:textId="4A34EAD0" w:rsidR="00C174E5" w:rsidRDefault="00291090" w:rsidP="00F57259">
      <w:pPr>
        <w:pStyle w:val="BodyCopy"/>
      </w:pPr>
      <w:r>
        <w:t>Ahead of its time in 2012</w:t>
      </w:r>
      <w:r w:rsidR="00E85D81">
        <w:t>,</w:t>
      </w:r>
      <w:r>
        <w:t xml:space="preserve"> Daikin </w:t>
      </w:r>
      <w:r w:rsidR="00E85D81">
        <w:t>had already taken</w:t>
      </w:r>
      <w:r>
        <w:t xml:space="preserve"> the decision to focus </w:t>
      </w:r>
      <w:r w:rsidR="006169E2">
        <w:t xml:space="preserve">on </w:t>
      </w:r>
      <w:r>
        <w:t>achieving the best seasonal efficiency all year round</w:t>
      </w:r>
      <w:r w:rsidR="00E85D81">
        <w:t xml:space="preserve"> for the VRV IV system</w:t>
      </w:r>
      <w:r>
        <w:t>. This was a departure from the usual practice of achieving performance at peak loads with the nominal point at 100% capacity (at 35°C for cooling and +7°C for heating).</w:t>
      </w:r>
      <w:r w:rsidR="00C174E5">
        <w:br w:type="page"/>
      </w:r>
    </w:p>
    <w:p w14:paraId="4AF51DE1" w14:textId="4C5FF447" w:rsidR="0069691E" w:rsidRDefault="00D908A8" w:rsidP="00F57259">
      <w:pPr>
        <w:pStyle w:val="BodyCopy"/>
      </w:pPr>
      <w:r>
        <w:lastRenderedPageBreak/>
        <w:t>Since that time, the EU has taken a</w:t>
      </w:r>
      <w:r w:rsidR="0069691E">
        <w:t xml:space="preserve"> more </w:t>
      </w:r>
      <w:r w:rsidR="00B62F55">
        <w:t xml:space="preserve">strategic </w:t>
      </w:r>
      <w:r>
        <w:t>stance on performance and efficiency</w:t>
      </w:r>
      <w:r w:rsidR="00E85D81">
        <w:t>.</w:t>
      </w:r>
      <w:r w:rsidR="00924CBA">
        <w:t xml:space="preserve"> </w:t>
      </w:r>
      <w:r w:rsidR="00E85D81">
        <w:t>As of the first</w:t>
      </w:r>
      <w:r w:rsidR="00291090">
        <w:t xml:space="preserve"> of January </w:t>
      </w:r>
      <w:r>
        <w:t>2018</w:t>
      </w:r>
      <w:r w:rsidR="00E85D81">
        <w:t xml:space="preserve">, </w:t>
      </w:r>
      <w:r>
        <w:t xml:space="preserve">the </w:t>
      </w:r>
      <w:proofErr w:type="spellStart"/>
      <w:r>
        <w:t>Ecodesign</w:t>
      </w:r>
      <w:proofErr w:type="spellEnd"/>
      <w:r>
        <w:t xml:space="preserve"> Directive on Energy Related Products (</w:t>
      </w:r>
      <w:proofErr w:type="spellStart"/>
      <w:r>
        <w:t>ErP</w:t>
      </w:r>
      <w:proofErr w:type="spellEnd"/>
      <w:r>
        <w:t>) came into force</w:t>
      </w:r>
      <w:r w:rsidR="002505A3">
        <w:t xml:space="preserve"> for commercial air heating and cooling products (ENER LOT21)</w:t>
      </w:r>
      <w:r>
        <w:t xml:space="preserve">. </w:t>
      </w:r>
      <w:r w:rsidR="002505A3">
        <w:t>T</w:t>
      </w:r>
      <w:r w:rsidR="00C20E38">
        <w:t>he</w:t>
      </w:r>
      <w:r w:rsidR="002505A3">
        <w:t xml:space="preserve"> legislation</w:t>
      </w:r>
      <w:r>
        <w:t xml:space="preserve"> sets minimum efficiency performance targets </w:t>
      </w:r>
      <w:r w:rsidR="00A3546A">
        <w:t xml:space="preserve">for cooling and heating products </w:t>
      </w:r>
      <w:r>
        <w:t>based on their</w:t>
      </w:r>
      <w:r w:rsidR="0069691E">
        <w:t xml:space="preserve"> </w:t>
      </w:r>
      <w:r>
        <w:t>actual year-round performance and not just on a single test result</w:t>
      </w:r>
      <w:r w:rsidR="00831CC3">
        <w:t xml:space="preserve"> at peak load</w:t>
      </w:r>
      <w:r w:rsidR="00924CBA">
        <w:t>.</w:t>
      </w:r>
      <w:r w:rsidR="00CB11A0">
        <w:t xml:space="preserve"> </w:t>
      </w:r>
      <w:r w:rsidR="00924CBA">
        <w:t>This</w:t>
      </w:r>
      <w:r w:rsidR="006169E2">
        <w:t xml:space="preserve"> </w:t>
      </w:r>
      <w:r w:rsidR="006169E2" w:rsidRPr="006169E2">
        <w:t>pushes manufacturers to deliver more efficient systems</w:t>
      </w:r>
      <w:r w:rsidR="006169E2">
        <w:t xml:space="preserve"> and</w:t>
      </w:r>
      <w:r w:rsidR="00CB11A0">
        <w:t xml:space="preserve"> help</w:t>
      </w:r>
      <w:r w:rsidR="00C20E38">
        <w:t>s</w:t>
      </w:r>
      <w:r w:rsidR="00CB11A0">
        <w:t xml:space="preserve"> users to select the most efficient </w:t>
      </w:r>
      <w:r w:rsidR="006169E2">
        <w:t>option</w:t>
      </w:r>
      <w:r w:rsidR="00924CBA">
        <w:t>.</w:t>
      </w:r>
    </w:p>
    <w:p w14:paraId="3EFF2A04" w14:textId="2763BAAA" w:rsidR="002505A3" w:rsidRDefault="00D908A8" w:rsidP="00F57259">
      <w:pPr>
        <w:pStyle w:val="BodyCopy"/>
      </w:pPr>
      <w:r>
        <w:t>The calculation method</w:t>
      </w:r>
      <w:r w:rsidR="0069691E">
        <w:t xml:space="preserve"> applied to determine a system’s seasonal efficiency</w:t>
      </w:r>
      <w:r w:rsidR="00291090">
        <w:t xml:space="preserve">, rather </w:t>
      </w:r>
      <w:r w:rsidR="00CB11A0">
        <w:t>than</w:t>
      </w:r>
      <w:r w:rsidR="00291090">
        <w:t xml:space="preserve"> its nominal efficiency</w:t>
      </w:r>
      <w:r w:rsidR="00CB11A0">
        <w:t>,</w:t>
      </w:r>
      <w:r w:rsidR="0069691E">
        <w:t xml:space="preserve"> is </w:t>
      </w:r>
      <w:r w:rsidR="00291090">
        <w:t>set</w:t>
      </w:r>
      <w:r w:rsidR="00A3546A">
        <w:t xml:space="preserve"> in </w:t>
      </w:r>
      <w:r w:rsidR="0069691E">
        <w:t>EN 14825. Using the number of hours that a temperature condition occurs throughout the year</w:t>
      </w:r>
      <w:r w:rsidR="002505A3">
        <w:t xml:space="preserve"> and the corresponding efficiency at that point</w:t>
      </w:r>
      <w:r w:rsidR="0069691E">
        <w:t xml:space="preserve">, the result is expressed in the </w:t>
      </w:r>
      <w:r w:rsidR="00B62F55">
        <w:t>E</w:t>
      </w:r>
      <w:r w:rsidR="00C174E5">
        <w:t>ta</w:t>
      </w:r>
      <w:r w:rsidR="0069691E">
        <w:t xml:space="preserve"> value</w:t>
      </w:r>
      <w:r w:rsidR="002505A3">
        <w:t xml:space="preserve">. The </w:t>
      </w:r>
      <w:r w:rsidR="005D5EF1">
        <w:t xml:space="preserve">minimum </w:t>
      </w:r>
      <w:r w:rsidR="002505A3">
        <w:t xml:space="preserve">efficiency </w:t>
      </w:r>
      <w:r w:rsidR="00CB11A0">
        <w:t>for</w:t>
      </w:r>
      <w:r w:rsidR="002505A3">
        <w:t xml:space="preserve"> cooling is set to </w:t>
      </w:r>
      <w:r w:rsidR="005D5EF1">
        <w:t xml:space="preserve">133% </w:t>
      </w:r>
      <w:r w:rsidR="002505A3">
        <w:t>and</w:t>
      </w:r>
      <w:r w:rsidR="005D5EF1">
        <w:t xml:space="preserve"> 181% </w:t>
      </w:r>
      <w:r w:rsidR="00CB11A0">
        <w:t>for</w:t>
      </w:r>
      <w:r w:rsidR="005D5EF1">
        <w:t xml:space="preserve"> heating</w:t>
      </w:r>
      <w:r w:rsidR="00CB11A0">
        <w:t>.</w:t>
      </w:r>
      <w:r w:rsidR="002505A3">
        <w:t xml:space="preserve"> Products that do not reach these efficiencies can</w:t>
      </w:r>
      <w:r w:rsidR="00E85D81">
        <w:t xml:space="preserve"> no longer be sold</w:t>
      </w:r>
      <w:r w:rsidR="002505A3">
        <w:t xml:space="preserve"> in the EU.</w:t>
      </w:r>
    </w:p>
    <w:p w14:paraId="7809EB6B" w14:textId="38289A45" w:rsidR="00E85D81" w:rsidRDefault="002505A3" w:rsidP="00F57259">
      <w:pPr>
        <w:pStyle w:val="BodyCopy"/>
      </w:pPr>
      <w:r>
        <w:t>The Eta value</w:t>
      </w:r>
      <w:r w:rsidR="0069691E">
        <w:t xml:space="preserve"> relates efficiency back to primary energy, allowing a direct comparison of fossil fuel products with electrically-driven products.</w:t>
      </w:r>
    </w:p>
    <w:p w14:paraId="05592C29" w14:textId="667703B8" w:rsidR="00072D66" w:rsidRDefault="00072D66" w:rsidP="00072D66">
      <w:pPr>
        <w:pStyle w:val="Subheading"/>
      </w:pPr>
      <w:r>
        <w:t>Raising the bar on seasonal efficiency</w:t>
      </w:r>
    </w:p>
    <w:p w14:paraId="3AD0BBB3" w14:textId="208AC814" w:rsidR="00072D66" w:rsidRPr="00C174E5" w:rsidRDefault="002505A3" w:rsidP="00F57259">
      <w:pPr>
        <w:pStyle w:val="BodyCopy"/>
      </w:pPr>
      <w:r>
        <w:t>W</w:t>
      </w:r>
      <w:r w:rsidR="00072D66" w:rsidRPr="00C174E5">
        <w:t xml:space="preserve">ith the launch of </w:t>
      </w:r>
      <w:r w:rsidR="00B911EF" w:rsidRPr="00C174E5">
        <w:t>the VRV</w:t>
      </w:r>
      <w:r w:rsidR="00072D66" w:rsidRPr="00C174E5">
        <w:t xml:space="preserve"> IV+ series we continue to build on our strategy of delivering systems that are truly efficient in real li</w:t>
      </w:r>
      <w:r w:rsidR="00CB11A0">
        <w:t>f</w:t>
      </w:r>
      <w:r w:rsidR="00072D66" w:rsidRPr="00C174E5">
        <w:t>e situations</w:t>
      </w:r>
      <w:r w:rsidR="004F4BA0">
        <w:t xml:space="preserve"> and </w:t>
      </w:r>
      <w:r w:rsidR="00196E8F">
        <w:t xml:space="preserve">we are </w:t>
      </w:r>
      <w:r w:rsidR="004F4BA0">
        <w:t>already compl</w:t>
      </w:r>
      <w:r w:rsidR="006169E2">
        <w:t xml:space="preserve">iant with the new </w:t>
      </w:r>
      <w:r w:rsidR="004F4BA0">
        <w:t xml:space="preserve">ENER LOT21 – Tier 2 </w:t>
      </w:r>
      <w:r w:rsidR="006169E2">
        <w:t>due to</w:t>
      </w:r>
      <w:r w:rsidR="004F4BA0">
        <w:t xml:space="preserve"> come into force in 2021</w:t>
      </w:r>
      <w:r w:rsidR="00C20E38">
        <w:t>.</w:t>
      </w:r>
    </w:p>
    <w:p w14:paraId="71C873F0" w14:textId="168637BE" w:rsidR="00924CBA" w:rsidRDefault="00981C21" w:rsidP="00F57259">
      <w:pPr>
        <w:pStyle w:val="BodyCopy"/>
      </w:pPr>
      <w:r>
        <w:t>Central to the new VRVIV+</w:t>
      </w:r>
      <w:r w:rsidR="002B6814">
        <w:t xml:space="preserve"> units</w:t>
      </w:r>
      <w:r w:rsidR="00D8684E" w:rsidRPr="00C174E5">
        <w:t>,</w:t>
      </w:r>
      <w:r w:rsidR="00072D66" w:rsidRPr="00C174E5">
        <w:t xml:space="preserve"> </w:t>
      </w:r>
      <w:r w:rsidR="003743D2" w:rsidRPr="00C174E5">
        <w:t xml:space="preserve">the </w:t>
      </w:r>
      <w:r w:rsidR="00072D66" w:rsidRPr="00C174E5">
        <w:t>compressor</w:t>
      </w:r>
      <w:r w:rsidR="003743D2" w:rsidRPr="00C174E5">
        <w:t xml:space="preserve"> has been </w:t>
      </w:r>
      <w:r w:rsidR="002B6814">
        <w:t xml:space="preserve">redesigned and </w:t>
      </w:r>
      <w:r w:rsidR="00D8684E" w:rsidRPr="00C174E5">
        <w:t>fully</w:t>
      </w:r>
      <w:r w:rsidR="00072D66" w:rsidRPr="00C174E5">
        <w:t xml:space="preserve"> optimised </w:t>
      </w:r>
      <w:r w:rsidR="0081357F" w:rsidRPr="00C174E5">
        <w:t xml:space="preserve">to </w:t>
      </w:r>
      <w:r w:rsidR="002B6814">
        <w:t>ensure</w:t>
      </w:r>
      <w:r w:rsidR="0081357F" w:rsidRPr="00C174E5">
        <w:t xml:space="preserve"> high performance</w:t>
      </w:r>
      <w:r w:rsidR="00072D66" w:rsidRPr="00C174E5">
        <w:t xml:space="preserve"> at part loads, </w:t>
      </w:r>
      <w:r w:rsidR="00924CBA">
        <w:t>which is the main operation mode throughout the year</w:t>
      </w:r>
      <w:r w:rsidR="00072D66" w:rsidRPr="00C174E5">
        <w:t>.</w:t>
      </w:r>
    </w:p>
    <w:p w14:paraId="582DC2A9" w14:textId="308243DA" w:rsidR="00E85D81" w:rsidRPr="00C174E5" w:rsidRDefault="00072D66" w:rsidP="00F57259">
      <w:pPr>
        <w:pStyle w:val="BodyCopy"/>
      </w:pPr>
      <w:r w:rsidRPr="00C174E5">
        <w:t>A key issue which can occur during low load operation</w:t>
      </w:r>
      <w:r w:rsidR="0081357F" w:rsidRPr="00C174E5">
        <w:t>,</w:t>
      </w:r>
      <w:r w:rsidRPr="00C174E5">
        <w:t xml:space="preserve"> </w:t>
      </w:r>
      <w:r w:rsidR="006169E2">
        <w:t>is</w:t>
      </w:r>
      <w:r w:rsidRPr="00C174E5">
        <w:t xml:space="preserve"> refrigerant leaks f</w:t>
      </w:r>
      <w:r w:rsidR="00B62F55" w:rsidRPr="00C174E5">
        <w:t>ro</w:t>
      </w:r>
      <w:r w:rsidRPr="00C174E5">
        <w:t>m the high</w:t>
      </w:r>
      <w:r w:rsidR="003743D2" w:rsidRPr="00C174E5">
        <w:t>-</w:t>
      </w:r>
      <w:r w:rsidRPr="00C174E5">
        <w:t>pressure side</w:t>
      </w:r>
      <w:r w:rsidR="00831CC3">
        <w:t xml:space="preserve"> to the low-pressure side </w:t>
      </w:r>
      <w:r w:rsidR="00924CBA">
        <w:t xml:space="preserve">in </w:t>
      </w:r>
      <w:r w:rsidR="00831CC3">
        <w:t>the compression chamber</w:t>
      </w:r>
      <w:r w:rsidRPr="00C174E5">
        <w:t>, resulting in loss of efficiency</w:t>
      </w:r>
      <w:r w:rsidR="00831CC3">
        <w:t>.</w:t>
      </w:r>
      <w:r w:rsidRPr="00C174E5">
        <w:t xml:space="preserve"> </w:t>
      </w:r>
      <w:r w:rsidR="00831CC3">
        <w:t>This is due to</w:t>
      </w:r>
      <w:r w:rsidRPr="00C174E5">
        <w:t xml:space="preserve"> lower pressure applied to the</w:t>
      </w:r>
      <w:r w:rsidR="00831CC3">
        <w:t xml:space="preserve"> back side of the moveable scroll of the compressor</w:t>
      </w:r>
      <w:r w:rsidR="00692732">
        <w:t xml:space="preserve"> (</w:t>
      </w:r>
      <w:r w:rsidR="006169E2">
        <w:t>F</w:t>
      </w:r>
      <w:r w:rsidR="00692732">
        <w:t>igure 1)</w:t>
      </w:r>
      <w:r w:rsidRPr="00C174E5">
        <w:t>.</w:t>
      </w:r>
      <w:r w:rsidR="00692732">
        <w:br/>
      </w:r>
      <w:r w:rsidRPr="00C174E5">
        <w:t xml:space="preserve">This has been </w:t>
      </w:r>
      <w:r w:rsidR="0081357F" w:rsidRPr="00C174E5">
        <w:t>resolved</w:t>
      </w:r>
      <w:r w:rsidRPr="00C174E5">
        <w:t xml:space="preserve"> in the new compressor by</w:t>
      </w:r>
      <w:r w:rsidR="003743D2" w:rsidRPr="00C174E5">
        <w:t xml:space="preserve"> </w:t>
      </w:r>
      <w:r w:rsidRPr="00C174E5">
        <w:t>the inclusion of a back</w:t>
      </w:r>
      <w:r w:rsidR="003743D2" w:rsidRPr="00C174E5">
        <w:t>-</w:t>
      </w:r>
      <w:r w:rsidRPr="00C174E5">
        <w:t xml:space="preserve">pressure control port that sends </w:t>
      </w:r>
      <w:r w:rsidR="00831CC3">
        <w:t xml:space="preserve">a small amount of </w:t>
      </w:r>
      <w:r w:rsidRPr="00C174E5">
        <w:t>high</w:t>
      </w:r>
      <w:r w:rsidR="006169E2">
        <w:t>-</w:t>
      </w:r>
      <w:r w:rsidRPr="00C174E5">
        <w:t>pressure refrigerant</w:t>
      </w:r>
      <w:r w:rsidR="00831CC3">
        <w:t xml:space="preserve"> from the compression chamber</w:t>
      </w:r>
      <w:r w:rsidRPr="00C174E5">
        <w:t xml:space="preserve"> to the back of the scroll</w:t>
      </w:r>
      <w:r w:rsidR="00692732">
        <w:t xml:space="preserve"> (</w:t>
      </w:r>
      <w:r w:rsidR="006169E2">
        <w:t>F</w:t>
      </w:r>
      <w:r w:rsidR="00692732">
        <w:t>igure 2)</w:t>
      </w:r>
      <w:r w:rsidR="00DD1479">
        <w:t>.</w:t>
      </w:r>
      <w:r w:rsidR="00E85D81">
        <w:t xml:space="preserve"> </w:t>
      </w:r>
      <w:r w:rsidR="00DD1479">
        <w:t>This way we ensure optimal separation of lower</w:t>
      </w:r>
      <w:r w:rsidR="00C20E38">
        <w:t xml:space="preserve">- </w:t>
      </w:r>
      <w:r w:rsidR="00DD1479">
        <w:t>and higher</w:t>
      </w:r>
      <w:r w:rsidR="006169E2">
        <w:t>-</w:t>
      </w:r>
      <w:r w:rsidR="00DD1479">
        <w:t>pressure sides within the compression chamber, boosting seasonal efficiency to a new standard.</w:t>
      </w:r>
    </w:p>
    <w:p w14:paraId="77863BFA" w14:textId="7CA11620" w:rsidR="00D8684E" w:rsidRDefault="00692732" w:rsidP="003743D2">
      <w:pPr>
        <w:pStyle w:val="BodyCopy"/>
      </w:pPr>
      <w:r>
        <w:lastRenderedPageBreak/>
        <w:t>Figure 1:</w:t>
      </w:r>
      <w:r>
        <w:br/>
      </w:r>
      <w:r w:rsidR="00D8684E" w:rsidRPr="008E633E">
        <w:rPr>
          <w:noProof/>
          <w:sz w:val="20"/>
          <w:szCs w:val="20"/>
        </w:rPr>
        <w:drawing>
          <wp:inline distT="0" distB="0" distL="0" distR="0" wp14:anchorId="414CBEDF" wp14:editId="0B1D26D5">
            <wp:extent cx="4180205" cy="213978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t="8672"/>
                    <a:stretch/>
                  </pic:blipFill>
                  <pic:spPr bwMode="auto">
                    <a:xfrm>
                      <a:off x="0" y="0"/>
                      <a:ext cx="4190202" cy="2144899"/>
                    </a:xfrm>
                    <a:prstGeom prst="rect">
                      <a:avLst/>
                    </a:prstGeom>
                    <a:ln>
                      <a:noFill/>
                    </a:ln>
                    <a:extLst>
                      <a:ext uri="{53640926-AAD7-44D8-BBD7-CCE9431645EC}">
                        <a14:shadowObscured xmlns:a14="http://schemas.microsoft.com/office/drawing/2010/main"/>
                      </a:ext>
                    </a:extLst>
                  </pic:spPr>
                </pic:pic>
              </a:graphicData>
            </a:graphic>
          </wp:inline>
        </w:drawing>
      </w:r>
    </w:p>
    <w:p w14:paraId="700CC0E7" w14:textId="77777777" w:rsidR="00FC71E7" w:rsidRDefault="00FC71E7" w:rsidP="003743D2">
      <w:pPr>
        <w:pStyle w:val="BodyCopy"/>
      </w:pPr>
    </w:p>
    <w:p w14:paraId="741CBCCE" w14:textId="297D2C77" w:rsidR="00D8684E" w:rsidRDefault="00692732" w:rsidP="003743D2">
      <w:pPr>
        <w:pStyle w:val="BodyCopy"/>
      </w:pPr>
      <w:r>
        <w:t>Figure 2:</w:t>
      </w:r>
      <w:r>
        <w:br/>
      </w:r>
      <w:r w:rsidR="00D8684E" w:rsidRPr="008E633E">
        <w:rPr>
          <w:noProof/>
          <w:sz w:val="20"/>
          <w:szCs w:val="20"/>
        </w:rPr>
        <w:drawing>
          <wp:inline distT="0" distB="0" distL="0" distR="0" wp14:anchorId="22D71967" wp14:editId="30F656B1">
            <wp:extent cx="4180831" cy="21342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t="8941"/>
                    <a:stretch/>
                  </pic:blipFill>
                  <pic:spPr bwMode="auto">
                    <a:xfrm>
                      <a:off x="0" y="0"/>
                      <a:ext cx="4188039" cy="2137915"/>
                    </a:xfrm>
                    <a:prstGeom prst="rect">
                      <a:avLst/>
                    </a:prstGeom>
                    <a:ln>
                      <a:noFill/>
                    </a:ln>
                    <a:extLst>
                      <a:ext uri="{53640926-AAD7-44D8-BBD7-CCE9431645EC}">
                        <a14:shadowObscured xmlns:a14="http://schemas.microsoft.com/office/drawing/2010/main"/>
                      </a:ext>
                    </a:extLst>
                  </pic:spPr>
                </pic:pic>
              </a:graphicData>
            </a:graphic>
          </wp:inline>
        </w:drawing>
      </w:r>
    </w:p>
    <w:p w14:paraId="1AF8C17A" w14:textId="77777777" w:rsidR="00E85D81" w:rsidRDefault="00E85D81" w:rsidP="003743D2">
      <w:pPr>
        <w:pStyle w:val="Subheading"/>
      </w:pPr>
    </w:p>
    <w:p w14:paraId="75920DCB" w14:textId="49E8FA77" w:rsidR="003743D2" w:rsidRDefault="00F57259" w:rsidP="003743D2">
      <w:pPr>
        <w:pStyle w:val="Subheading"/>
      </w:pPr>
      <w:r>
        <w:t>Following the</w:t>
      </w:r>
      <w:r w:rsidR="00E85D81">
        <w:t xml:space="preserve"> principles behind </w:t>
      </w:r>
      <w:proofErr w:type="spellStart"/>
      <w:r w:rsidR="00E85D81">
        <w:t>ErP</w:t>
      </w:r>
      <w:proofErr w:type="spellEnd"/>
      <w:r w:rsidR="003743D2" w:rsidRPr="003743D2">
        <w:t xml:space="preserve"> legislation</w:t>
      </w:r>
    </w:p>
    <w:p w14:paraId="3D032596" w14:textId="6E989510" w:rsidR="006169E2" w:rsidRDefault="003743D2" w:rsidP="00C20E38">
      <w:pPr>
        <w:pStyle w:val="BodyCopy"/>
      </w:pPr>
      <w:r>
        <w:t xml:space="preserve">EN14825 does not </w:t>
      </w:r>
      <w:r w:rsidR="00DD1479">
        <w:t xml:space="preserve">specify indoor unit type or size, although the </w:t>
      </w:r>
      <w:r w:rsidR="00C20E38">
        <w:t>goal</w:t>
      </w:r>
      <w:r w:rsidR="00DD1479">
        <w:t xml:space="preserve"> of legislation is to provide useful information </w:t>
      </w:r>
      <w:r w:rsidR="00F57259">
        <w:t xml:space="preserve">to assist decision-making </w:t>
      </w:r>
      <w:r w:rsidR="00DD1479">
        <w:t xml:space="preserve">and improve efficiency </w:t>
      </w:r>
      <w:r w:rsidR="00DD1479" w:rsidRPr="00F57259">
        <w:t>in real life</w:t>
      </w:r>
      <w:r w:rsidR="00DD1479">
        <w:t xml:space="preserve"> conditions</w:t>
      </w:r>
      <w:r>
        <w:t xml:space="preserve">. Typically, the larger the unit, the better the </w:t>
      </w:r>
      <w:r w:rsidR="00B911EF">
        <w:t>overall system</w:t>
      </w:r>
      <w:r>
        <w:t xml:space="preserve"> efficiency will be</w:t>
      </w:r>
      <w:r w:rsidR="00F57259">
        <w:t xml:space="preserve"> (</w:t>
      </w:r>
      <w:r w:rsidR="002F0C85">
        <w:t xml:space="preserve">but this </w:t>
      </w:r>
      <w:r w:rsidR="00F57259">
        <w:t>may not necessarily be a unit that is sold regularly).</w:t>
      </w:r>
    </w:p>
    <w:p w14:paraId="3260053F" w14:textId="3E0072FB" w:rsidR="00C20E38" w:rsidRDefault="003743D2" w:rsidP="003743D2">
      <w:pPr>
        <w:pStyle w:val="BodyCopy"/>
      </w:pPr>
      <w:r>
        <w:t xml:space="preserve">Daikin </w:t>
      </w:r>
      <w:r w:rsidR="00FC71E7">
        <w:t>publishes information on the</w:t>
      </w:r>
      <w:r>
        <w:t xml:space="preserve"> </w:t>
      </w:r>
      <w:r w:rsidR="00FC71E7">
        <w:t xml:space="preserve">most </w:t>
      </w:r>
      <w:r w:rsidR="003013BB">
        <w:t xml:space="preserve">sold </w:t>
      </w:r>
      <w:r w:rsidR="00FC71E7">
        <w:t>combinations of indoor unit with its VRV systems</w:t>
      </w:r>
      <w:r w:rsidR="002F0C85">
        <w:t xml:space="preserve">, to </w:t>
      </w:r>
      <w:r w:rsidR="00C20E38">
        <w:t>observe</w:t>
      </w:r>
      <w:r w:rsidR="002F0C85">
        <w:t xml:space="preserve"> the </w:t>
      </w:r>
      <w:r w:rsidR="00C20E38">
        <w:t>aims</w:t>
      </w:r>
      <w:r w:rsidR="002F0C85">
        <w:t xml:space="preserve"> of the legislation and provide useful data to the customers</w:t>
      </w:r>
      <w:r w:rsidR="00D8684E">
        <w:t xml:space="preserve">. </w:t>
      </w:r>
    </w:p>
    <w:p w14:paraId="7C11C922" w14:textId="549D5202" w:rsidR="00FC71E7" w:rsidRDefault="00D8684E" w:rsidP="003743D2">
      <w:pPr>
        <w:pStyle w:val="BodyCopy"/>
      </w:pPr>
      <w:r>
        <w:lastRenderedPageBreak/>
        <w:t xml:space="preserve">These </w:t>
      </w:r>
      <w:r w:rsidR="002F0C85">
        <w:t xml:space="preserve">units </w:t>
      </w:r>
      <w:r>
        <w:t>are:</w:t>
      </w:r>
      <w:r w:rsidR="003743D2">
        <w:t xml:space="preserve"> the FXFQ Round flow cassette, FXSQ medium static pressure concealed ceiling unit and the FXMQ high static pressure concealed ceiling unit. </w:t>
      </w:r>
    </w:p>
    <w:p w14:paraId="7256EA53" w14:textId="6A442EE5" w:rsidR="003743D2" w:rsidRPr="00F57259" w:rsidRDefault="00D8684E" w:rsidP="00F57259">
      <w:pPr>
        <w:pStyle w:val="BodyCopy"/>
      </w:pPr>
      <w:r w:rsidRPr="00F57259">
        <w:t xml:space="preserve">When comparing efficiency values, it is important to check which indoor units are </w:t>
      </w:r>
      <w:r w:rsidR="00B559A0" w:rsidRPr="00F57259">
        <w:t xml:space="preserve">being used </w:t>
      </w:r>
      <w:r w:rsidRPr="00F57259">
        <w:t xml:space="preserve">to ensure a fair comparison. </w:t>
      </w:r>
      <w:r w:rsidR="0081357F" w:rsidRPr="00F57259">
        <w:t>The values for specific models</w:t>
      </w:r>
      <w:r w:rsidR="003743D2" w:rsidRPr="00F57259">
        <w:t xml:space="preserve"> can be</w:t>
      </w:r>
      <w:r w:rsidRPr="00F57259">
        <w:t xml:space="preserve"> identified using</w:t>
      </w:r>
      <w:r w:rsidR="003743D2" w:rsidRPr="00F57259">
        <w:t xml:space="preserve"> the </w:t>
      </w:r>
      <w:r w:rsidRPr="00F57259">
        <w:t xml:space="preserve">supplied </w:t>
      </w:r>
      <w:r w:rsidR="003743D2" w:rsidRPr="00F57259">
        <w:t>product fiche</w:t>
      </w:r>
      <w:r w:rsidRPr="00F57259">
        <w:t>s</w:t>
      </w:r>
      <w:r w:rsidR="002F0C85" w:rsidRPr="00F57259">
        <w:t>, which must be available in a free access website, set-up by every manufacturer</w:t>
      </w:r>
      <w:r w:rsidR="003743D2" w:rsidRPr="00F57259">
        <w:t>.</w:t>
      </w:r>
    </w:p>
    <w:p w14:paraId="3E64228D" w14:textId="0CC2F13E" w:rsidR="00072D66" w:rsidRDefault="00072D66" w:rsidP="00072D66">
      <w:pPr>
        <w:pStyle w:val="BodyCopy"/>
      </w:pPr>
    </w:p>
    <w:p w14:paraId="7D41F1CD" w14:textId="5C7F805D" w:rsidR="00D55C54" w:rsidRDefault="00D8684E" w:rsidP="00D55C54">
      <w:pPr>
        <w:pStyle w:val="BodyCopy"/>
      </w:pPr>
      <w:r w:rsidRPr="008E633E">
        <w:rPr>
          <w:noProof/>
          <w:sz w:val="20"/>
          <w:szCs w:val="20"/>
        </w:rPr>
        <w:drawing>
          <wp:inline distT="0" distB="0" distL="0" distR="0" wp14:anchorId="226C4BB9" wp14:editId="2FA1CD2D">
            <wp:extent cx="5095875" cy="254116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099726" cy="2543083"/>
                    </a:xfrm>
                    <a:prstGeom prst="rect">
                      <a:avLst/>
                    </a:prstGeom>
                  </pic:spPr>
                </pic:pic>
              </a:graphicData>
            </a:graphic>
          </wp:inline>
        </w:drawing>
      </w:r>
    </w:p>
    <w:p w14:paraId="6409173C" w14:textId="67A9376F" w:rsidR="00D8684E" w:rsidRDefault="00D8684E" w:rsidP="00D55C54">
      <w:pPr>
        <w:pStyle w:val="BodyCopy"/>
      </w:pPr>
    </w:p>
    <w:p w14:paraId="61C08CF7" w14:textId="0AABC575" w:rsidR="00B559A0" w:rsidRPr="00F57259" w:rsidRDefault="0081357F" w:rsidP="00D55C54">
      <w:pPr>
        <w:pStyle w:val="BodyCopy"/>
        <w:rPr>
          <w:b/>
          <w:color w:val="FF0000"/>
        </w:rPr>
      </w:pPr>
      <w:r w:rsidRPr="0081357F">
        <w:rPr>
          <w:b/>
        </w:rPr>
        <w:t xml:space="preserve">The new Daikin VRV IV+ series will be available </w:t>
      </w:r>
      <w:r w:rsidRPr="00196E8F">
        <w:rPr>
          <w:b/>
        </w:rPr>
        <w:t xml:space="preserve">from </w:t>
      </w:r>
      <w:r w:rsidR="003013BB" w:rsidRPr="00196E8F">
        <w:rPr>
          <w:b/>
        </w:rPr>
        <w:t>March onwards.</w:t>
      </w:r>
    </w:p>
    <w:p w14:paraId="099C9677" w14:textId="77777777" w:rsidR="0081357F" w:rsidRDefault="0081357F" w:rsidP="00D55C54">
      <w:pPr>
        <w:pStyle w:val="BodyCopy"/>
      </w:pPr>
    </w:p>
    <w:p w14:paraId="0B0E64AF" w14:textId="70A9A8E7" w:rsidR="0069691E" w:rsidRDefault="0069691E" w:rsidP="00D55C54">
      <w:pPr>
        <w:pStyle w:val="BodyCopy"/>
        <w:rPr>
          <w:color w:val="0083C1" w:themeColor="background1"/>
        </w:rPr>
      </w:pPr>
      <w:r w:rsidRPr="0069691E">
        <w:t>For a more detail</w:t>
      </w:r>
      <w:r w:rsidR="0081357F">
        <w:t>s on</w:t>
      </w:r>
      <w:r w:rsidRPr="0069691E">
        <w:t xml:space="preserve"> </w:t>
      </w:r>
      <w:r w:rsidR="002F0C85">
        <w:t xml:space="preserve">ENER </w:t>
      </w:r>
      <w:r w:rsidRPr="0069691E">
        <w:t xml:space="preserve">LOT21 refer to: </w:t>
      </w:r>
      <w:hyperlink r:id="rId11" w:history="1">
        <w:r w:rsidRPr="0069691E">
          <w:rPr>
            <w:rStyle w:val="Hyperlink"/>
            <w:color w:val="0083C1" w:themeColor="background1"/>
          </w:rPr>
          <w:t>https://www.daikin.eu/en_us/about/daikin-innovations/seasonal-efficiency.html</w:t>
        </w:r>
      </w:hyperlink>
    </w:p>
    <w:p w14:paraId="54F4B52A" w14:textId="4E7FEBBF" w:rsidR="00D8684E" w:rsidRPr="0081357F" w:rsidRDefault="00D8684E" w:rsidP="00D8684E">
      <w:pPr>
        <w:pStyle w:val="BodyCopy"/>
        <w:rPr>
          <w:i/>
        </w:rPr>
      </w:pPr>
      <w:r w:rsidRPr="00D8684E">
        <w:t xml:space="preserve">Daikin’s </w:t>
      </w:r>
      <w:r w:rsidR="002F0C85">
        <w:t xml:space="preserve">ENER </w:t>
      </w:r>
      <w:r w:rsidRPr="00D8684E">
        <w:t xml:space="preserve">LOT21 data </w:t>
      </w:r>
      <w:r w:rsidR="0081357F">
        <w:t>is available to download at</w:t>
      </w:r>
      <w:r w:rsidRPr="00D8684E">
        <w:t xml:space="preserve">: </w:t>
      </w:r>
      <w:hyperlink r:id="rId12" w:history="1">
        <w:r w:rsidRPr="00D8684E">
          <w:rPr>
            <w:rStyle w:val="Hyperlink"/>
            <w:color w:val="0083C1" w:themeColor="background1"/>
          </w:rPr>
          <w:t>https://energylabel.daikin.eu/eu/en_US/lot21.html</w:t>
        </w:r>
      </w:hyperlink>
      <w:r>
        <w:t xml:space="preserve"> </w:t>
      </w:r>
      <w:r w:rsidRPr="00D8684E">
        <w:t xml:space="preserve"> </w:t>
      </w:r>
      <w:r w:rsidR="0081357F">
        <w:br/>
      </w:r>
      <w:r w:rsidRPr="0081357F">
        <w:rPr>
          <w:i/>
        </w:rPr>
        <w:t xml:space="preserve">To find the data of the new VRV IV+ series search for RXYQ-U (heat pump), RYYQ-U (heat pump with continuous heating) and REYQ-U (heat recovery) </w:t>
      </w:r>
      <w:bookmarkStart w:id="0" w:name="_GoBack"/>
      <w:bookmarkEnd w:id="0"/>
      <w:r w:rsidRPr="0081357F">
        <w:rPr>
          <w:i/>
        </w:rPr>
        <w:t>series)</w:t>
      </w:r>
    </w:p>
    <w:p w14:paraId="65E64171" w14:textId="77777777" w:rsidR="00D55C54" w:rsidRDefault="00D55C54" w:rsidP="00D55C54">
      <w:pPr>
        <w:pStyle w:val="Subheading"/>
      </w:pPr>
      <w:r>
        <w:t>Ends</w:t>
      </w:r>
    </w:p>
    <w:p w14:paraId="4D6966F0" w14:textId="77777777" w:rsidR="008A772E" w:rsidRDefault="008A772E">
      <w:r>
        <w:br w:type="page"/>
      </w:r>
    </w:p>
    <w:p w14:paraId="5F9EEBB0" w14:textId="77777777" w:rsidR="00914B28" w:rsidRPr="008A772E" w:rsidRDefault="00D55C54" w:rsidP="008A772E">
      <w:pPr>
        <w:pStyle w:val="Introduction"/>
        <w:rPr>
          <w:bCs w:val="0"/>
        </w:rPr>
      </w:pPr>
      <w:r w:rsidRPr="008A772E">
        <w:lastRenderedPageBreak/>
        <w:t>ED</w:t>
      </w:r>
      <w:r>
        <w:t>ITOR NOTES</w:t>
      </w:r>
    </w:p>
    <w:p w14:paraId="6EC4AB5B" w14:textId="77777777" w:rsidR="00914B28" w:rsidRPr="006A5B5D" w:rsidRDefault="00914B28" w:rsidP="006A5B5D">
      <w:pPr>
        <w:pStyle w:val="Subheading"/>
      </w:pPr>
      <w:r w:rsidRPr="006A5B5D">
        <w:t>About Daikin Europe N.V.</w:t>
      </w:r>
    </w:p>
    <w:p w14:paraId="09EEBBE5" w14:textId="77777777" w:rsidR="00914B28" w:rsidRDefault="00914B28" w:rsidP="006A5B5D">
      <w:pPr>
        <w:pStyle w:val="BodyCopy"/>
      </w:pPr>
      <w:r>
        <w:t>Daikin Europe N.V. is a major European producer of air conditioners, heat pumps and refrigeration equipment, with approximately 5,500 employees throughout Europe and 10 major manufacturing facilities based in Belgium, the Czech Republic, Germany, Italy, Turkey and the UK.</w:t>
      </w:r>
    </w:p>
    <w:p w14:paraId="26AB0128" w14:textId="77777777" w:rsidR="00914B28" w:rsidRDefault="00914B28" w:rsidP="006A5B5D">
      <w:pPr>
        <w:pStyle w:val="BodyCopy"/>
      </w:pPr>
      <w:r>
        <w:t xml:space="preserve">Globally, Daikin is renowned for its pioneering approach to product development and the unrivalled quality and versatility of its integrated solutions. With </w:t>
      </w:r>
      <w:r w:rsidRPr="006A5B5D">
        <w:t>more than 90 years’</w:t>
      </w:r>
      <w:r w:rsidRPr="00914B28">
        <w:rPr>
          <w:color w:val="0083C1" w:themeColor="background1"/>
        </w:rPr>
        <w:t xml:space="preserve"> </w:t>
      </w:r>
      <w:r>
        <w:t>experience in the design and manufacture of heating and cooling technologies, Daikin is a market leader in heat pump technology. Daikin VRV and Daikin Altherma are the most sold heat pump systems in Europe, with over 500,000 systems delivered to date.</w:t>
      </w:r>
    </w:p>
    <w:p w14:paraId="09582185" w14:textId="77777777" w:rsidR="006A5B5D" w:rsidRDefault="006A5B5D" w:rsidP="00137D26"/>
    <w:p w14:paraId="150A9175" w14:textId="77777777" w:rsidR="006A5B5D" w:rsidRDefault="00D55C54" w:rsidP="00137D26">
      <w:r>
        <w:t>……………………………………………………………………………………………………………………………………………………….</w:t>
      </w:r>
    </w:p>
    <w:p w14:paraId="517AFA70" w14:textId="77777777" w:rsidR="00D55C54" w:rsidRPr="008A772E" w:rsidRDefault="00D55C54" w:rsidP="00D55C54">
      <w:pPr>
        <w:pStyle w:val="Introduction"/>
        <w:rPr>
          <w:bCs w:val="0"/>
        </w:rPr>
      </w:pPr>
      <w:r>
        <w:t>FURTHER INFORMATION</w:t>
      </w:r>
    </w:p>
    <w:p w14:paraId="75E678B8" w14:textId="77777777" w:rsidR="00D55C54" w:rsidRPr="006A5B5D" w:rsidRDefault="00D55C54" w:rsidP="00D55C54">
      <w:pPr>
        <w:pStyle w:val="Subheading"/>
      </w:pPr>
      <w:r>
        <w:t>Contacts</w:t>
      </w:r>
    </w:p>
    <w:p w14:paraId="7C200A51" w14:textId="77777777" w:rsidR="001B0667" w:rsidRDefault="001B0667" w:rsidP="001B0667">
      <w:pPr>
        <w:pStyle w:val="BodyCopy"/>
      </w:pPr>
      <w:r>
        <w:t xml:space="preserve">For Media enquiries contact: </w:t>
      </w:r>
    </w:p>
    <w:p w14:paraId="7438B4B1" w14:textId="77777777" w:rsidR="001B0667" w:rsidRPr="00F57259" w:rsidRDefault="001B0667" w:rsidP="001B0667">
      <w:pPr>
        <w:pStyle w:val="BodyCopy"/>
        <w:rPr>
          <w:lang w:val="fr-FR"/>
        </w:rPr>
      </w:pPr>
      <w:r w:rsidRPr="00F57259">
        <w:rPr>
          <w:lang w:val="fr-FR"/>
        </w:rPr>
        <w:t xml:space="preserve">Anju Sarpal: +44 7980 785572/Charmaine Kimpton +44 7414 749973 </w:t>
      </w:r>
      <w:proofErr w:type="spellStart"/>
      <w:r w:rsidRPr="00F57259">
        <w:rPr>
          <w:lang w:val="fr-FR"/>
        </w:rPr>
        <w:t>or</w:t>
      </w:r>
      <w:proofErr w:type="spellEnd"/>
      <w:r w:rsidRPr="00F57259">
        <w:rPr>
          <w:lang w:val="fr-FR"/>
        </w:rPr>
        <w:t xml:space="preserve"> email</w:t>
      </w:r>
    </w:p>
    <w:p w14:paraId="3E78E077" w14:textId="77777777" w:rsidR="001B0667" w:rsidRPr="00F57259" w:rsidRDefault="00196E8F" w:rsidP="001B0667">
      <w:pPr>
        <w:pStyle w:val="BodyCopy"/>
        <w:rPr>
          <w:lang w:val="fr-FR"/>
        </w:rPr>
      </w:pPr>
      <w:hyperlink r:id="rId13" w:history="1">
        <w:r w:rsidR="001B0667" w:rsidRPr="00F57259">
          <w:rPr>
            <w:rStyle w:val="Hyperlink"/>
            <w:color w:val="0083C1" w:themeColor="background1"/>
            <w:lang w:val="fr-FR"/>
          </w:rPr>
          <w:t>Daikin-News@sheremarketing.co.uk</w:t>
        </w:r>
      </w:hyperlink>
    </w:p>
    <w:p w14:paraId="05F0D0D2" w14:textId="77777777" w:rsidR="00914B28" w:rsidRPr="00F57259" w:rsidRDefault="00914B28" w:rsidP="00D55C54">
      <w:pPr>
        <w:rPr>
          <w:lang w:val="fr-FR"/>
        </w:rPr>
      </w:pPr>
    </w:p>
    <w:sectPr w:rsidR="00914B28" w:rsidRPr="00F57259" w:rsidSect="00391849">
      <w:headerReference w:type="default" r:id="rId14"/>
      <w:footerReference w:type="default" r:id="rId15"/>
      <w:pgSz w:w="11907" w:h="16839" w:code="9"/>
      <w:pgMar w:top="1440" w:right="1440" w:bottom="1440" w:left="1440" w:header="964" w:footer="34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9E8743" w14:textId="77777777" w:rsidR="007D7DFC" w:rsidRDefault="007D7DFC" w:rsidP="00137D26">
      <w:r>
        <w:separator/>
      </w:r>
    </w:p>
  </w:endnote>
  <w:endnote w:type="continuationSeparator" w:id="0">
    <w:p w14:paraId="0BD61220" w14:textId="77777777" w:rsidR="007D7DFC" w:rsidRDefault="007D7DFC" w:rsidP="00137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37950" w14:textId="77777777" w:rsidR="00137D26" w:rsidRDefault="00137D26" w:rsidP="00137D26">
    <w:pPr>
      <w:pStyle w:val="Footer"/>
    </w:pPr>
  </w:p>
  <w:p w14:paraId="69C1F46F" w14:textId="77777777" w:rsidR="00137D26" w:rsidRDefault="00137D26" w:rsidP="00137D26">
    <w:pPr>
      <w:pStyle w:val="Footer"/>
    </w:pPr>
    <w:r>
      <w:rPr>
        <w:noProof/>
      </w:rPr>
      <w:drawing>
        <wp:anchor distT="0" distB="0" distL="114300" distR="114300" simplePos="0" relativeHeight="251658240" behindDoc="1" locked="0" layoutInCell="1" allowOverlap="1" wp14:anchorId="0AC97EC0" wp14:editId="6F103D6D">
          <wp:simplePos x="0" y="0"/>
          <wp:positionH relativeFrom="column">
            <wp:posOffset>-347980</wp:posOffset>
          </wp:positionH>
          <wp:positionV relativeFrom="paragraph">
            <wp:posOffset>198755</wp:posOffset>
          </wp:positionV>
          <wp:extent cx="7562850" cy="1347188"/>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_footer-city-small_no-site.jpg"/>
                  <pic:cNvPicPr/>
                </pic:nvPicPr>
                <pic:blipFill>
                  <a:blip r:embed="rId1">
                    <a:extLst>
                      <a:ext uri="{28A0092B-C50C-407E-A947-70E740481C1C}">
                        <a14:useLocalDpi xmlns:a14="http://schemas.microsoft.com/office/drawing/2010/main" val="0"/>
                      </a:ext>
                    </a:extLst>
                  </a:blip>
                  <a:stretch>
                    <a:fillRect/>
                  </a:stretch>
                </pic:blipFill>
                <pic:spPr>
                  <a:xfrm>
                    <a:off x="0" y="0"/>
                    <a:ext cx="7562850" cy="1347188"/>
                  </a:xfrm>
                  <a:prstGeom prst="rect">
                    <a:avLst/>
                  </a:prstGeom>
                </pic:spPr>
              </pic:pic>
            </a:graphicData>
          </a:graphic>
        </wp:anchor>
      </w:drawing>
    </w:r>
  </w:p>
  <w:p w14:paraId="50CB48A0" w14:textId="77777777" w:rsidR="00137D26" w:rsidRDefault="00137D26" w:rsidP="00137D26">
    <w:pPr>
      <w:pStyle w:val="Footer"/>
    </w:pPr>
  </w:p>
  <w:p w14:paraId="21ADF719" w14:textId="77777777" w:rsidR="00137D26" w:rsidRDefault="00137D26" w:rsidP="00137D26">
    <w:pPr>
      <w:pStyle w:val="Footer"/>
    </w:pPr>
  </w:p>
  <w:p w14:paraId="29ED2CCF" w14:textId="77777777" w:rsidR="005250A2" w:rsidRDefault="005250A2" w:rsidP="00137D26">
    <w:pPr>
      <w:pStyle w:val="Footer"/>
    </w:pPr>
  </w:p>
  <w:sdt>
    <w:sdtPr>
      <w:id w:val="-1705238520"/>
      <w:docPartObj>
        <w:docPartGallery w:val="Page Numbers (Top of Page)"/>
        <w:docPartUnique/>
      </w:docPartObj>
    </w:sdtPr>
    <w:sdtEndPr/>
    <w:sdtContent>
      <w:p w14:paraId="0ADCD9EB" w14:textId="77777777" w:rsidR="00137D26" w:rsidRDefault="00137D26" w:rsidP="00137D26">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692B98">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92B98">
          <w:rPr>
            <w:b/>
            <w:bCs/>
            <w:noProof/>
          </w:rPr>
          <w:t>2</w:t>
        </w:r>
        <w:r>
          <w:rPr>
            <w:b/>
            <w:bCs/>
            <w:sz w:val="24"/>
            <w:szCs w:val="24"/>
          </w:rPr>
          <w:fldChar w:fldCharType="end"/>
        </w:r>
      </w:p>
      <w:p w14:paraId="55A0C23E" w14:textId="77777777" w:rsidR="00137D26" w:rsidRDefault="00137D26" w:rsidP="00137D26">
        <w:pPr>
          <w:pStyle w:val="Footer"/>
          <w:jc w:val="right"/>
          <w:rPr>
            <w:b/>
            <w:bCs/>
            <w:sz w:val="24"/>
            <w:szCs w:val="24"/>
          </w:rPr>
        </w:pPr>
      </w:p>
      <w:p w14:paraId="1348B55E" w14:textId="77777777" w:rsidR="00137D26" w:rsidRDefault="00196E8F" w:rsidP="00137D26">
        <w:pPr>
          <w:pStyle w:val="Footer"/>
          <w:jc w:val="right"/>
        </w:pPr>
      </w:p>
    </w:sdtContent>
  </w:sdt>
  <w:p w14:paraId="67629FC0" w14:textId="77777777" w:rsidR="005250A2" w:rsidRDefault="005250A2" w:rsidP="00137D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5E729" w14:textId="77777777" w:rsidR="007D7DFC" w:rsidRDefault="007D7DFC" w:rsidP="00137D26">
      <w:r>
        <w:separator/>
      </w:r>
    </w:p>
  </w:footnote>
  <w:footnote w:type="continuationSeparator" w:id="0">
    <w:p w14:paraId="092032E6" w14:textId="77777777" w:rsidR="007D7DFC" w:rsidRDefault="007D7DFC" w:rsidP="00137D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B684B" w14:textId="77777777" w:rsidR="00391849" w:rsidRDefault="00391849" w:rsidP="00391849">
    <w:pPr>
      <w:jc w:val="right"/>
      <w:rPr>
        <w:rStyle w:val="Hyperlink"/>
        <w:rFonts w:ascii="Arial" w:hAnsi="Arial" w:cs="Arial"/>
        <w:b/>
        <w:color w:val="0083C1" w:themeColor="background1"/>
      </w:rPr>
    </w:pPr>
    <w:r w:rsidRPr="00D54049">
      <w:rPr>
        <w:noProof/>
      </w:rPr>
      <w:drawing>
        <wp:anchor distT="0" distB="0" distL="114300" distR="114300" simplePos="0" relativeHeight="251657216" behindDoc="0" locked="0" layoutInCell="1" allowOverlap="1" wp14:anchorId="3B5749E8" wp14:editId="1EBB1962">
          <wp:simplePos x="0" y="0"/>
          <wp:positionH relativeFrom="column">
            <wp:posOffset>12700</wp:posOffset>
          </wp:positionH>
          <wp:positionV relativeFrom="paragraph">
            <wp:posOffset>635</wp:posOffset>
          </wp:positionV>
          <wp:extent cx="1524000" cy="323850"/>
          <wp:effectExtent l="0" t="0" r="0" b="0"/>
          <wp:wrapNone/>
          <wp:docPr id="6" name="Picture 6" descr="logo_for_wor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or_word_"/>
                  <pic:cNvPicPr>
                    <a:picLocks noChangeAspect="1" noChangeArrowheads="1"/>
                  </pic:cNvPicPr>
                </pic:nvPicPr>
                <pic:blipFill rotWithShape="1">
                  <a:blip r:embed="rId1">
                    <a:extLst>
                      <a:ext uri="{28A0092B-C50C-407E-A947-70E740481C1C}">
                        <a14:useLocalDpi xmlns:a14="http://schemas.microsoft.com/office/drawing/2010/main" val="0"/>
                      </a:ext>
                    </a:extLst>
                  </a:blip>
                  <a:srcRect b="24444"/>
                  <a:stretch/>
                </pic:blipFill>
                <pic:spPr bwMode="auto">
                  <a:xfrm>
                    <a:off x="0" y="0"/>
                    <a:ext cx="1524000" cy="323850"/>
                  </a:xfrm>
                  <a:prstGeom prst="rect">
                    <a:avLst/>
                  </a:prstGeom>
                  <a:noFill/>
                  <a:ln>
                    <a:noFill/>
                  </a:ln>
                  <a:extLst>
                    <a:ext uri="{53640926-AAD7-44D8-BBD7-CCE9431645EC}">
                      <a14:shadowObscured xmlns:a14="http://schemas.microsoft.com/office/drawing/2010/main"/>
                    </a:ext>
                  </a:extLst>
                </pic:spPr>
              </pic:pic>
            </a:graphicData>
          </a:graphic>
        </wp:anchor>
      </w:drawing>
    </w:r>
    <w:hyperlink r:id="rId2" w:history="1">
      <w:r w:rsidRPr="00914B28">
        <w:rPr>
          <w:rStyle w:val="Hyperlink"/>
          <w:rFonts w:ascii="Arial" w:hAnsi="Arial" w:cs="Arial"/>
          <w:b/>
          <w:color w:val="0083C1" w:themeColor="background1"/>
        </w:rPr>
        <w:t>www.daikin.eu</w:t>
      </w:r>
    </w:hyperlink>
  </w:p>
  <w:p w14:paraId="1C2CD9FE" w14:textId="77777777" w:rsidR="00692B98" w:rsidRDefault="00692B98" w:rsidP="00391849">
    <w:pPr>
      <w:jc w:val="right"/>
      <w:rPr>
        <w:rStyle w:val="Hyperlink"/>
        <w:rFonts w:ascii="Arial" w:hAnsi="Arial" w:cs="Arial"/>
        <w:b/>
        <w:color w:val="0083C1" w:themeColor="background1"/>
      </w:rPr>
    </w:pPr>
  </w:p>
  <w:p w14:paraId="7FB3A974" w14:textId="77777777" w:rsidR="00692B98" w:rsidRPr="00914B28" w:rsidRDefault="00692B98" w:rsidP="00391849">
    <w:pPr>
      <w:jc w:val="right"/>
      <w:rPr>
        <w:rFonts w:ascii="Arial" w:hAnsi="Arial" w:cs="Arial"/>
        <w:b/>
        <w:color w:val="0083C1" w:themeColor="background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E94998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A5A32EC"/>
    <w:multiLevelType w:val="multilevel"/>
    <w:tmpl w:val="0C2410C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
  </w:num>
  <w:num w:numId="4">
    <w:abstractNumId w:val="4"/>
  </w:num>
  <w:num w:numId="5">
    <w:abstractNumId w:val="5"/>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648"/>
    <w:rsid w:val="000060AC"/>
    <w:rsid w:val="00012A26"/>
    <w:rsid w:val="00014241"/>
    <w:rsid w:val="0002576A"/>
    <w:rsid w:val="00025988"/>
    <w:rsid w:val="0002718E"/>
    <w:rsid w:val="00032BAB"/>
    <w:rsid w:val="00034675"/>
    <w:rsid w:val="0005346B"/>
    <w:rsid w:val="000551D5"/>
    <w:rsid w:val="00055966"/>
    <w:rsid w:val="00063F4C"/>
    <w:rsid w:val="000666B2"/>
    <w:rsid w:val="00072D66"/>
    <w:rsid w:val="00077AD3"/>
    <w:rsid w:val="000A7D2F"/>
    <w:rsid w:val="000B6BD3"/>
    <w:rsid w:val="000C11B9"/>
    <w:rsid w:val="000C5AEB"/>
    <w:rsid w:val="000C65B2"/>
    <w:rsid w:val="000D1C07"/>
    <w:rsid w:val="000F6F8D"/>
    <w:rsid w:val="001052F1"/>
    <w:rsid w:val="00111112"/>
    <w:rsid w:val="00111767"/>
    <w:rsid w:val="001155F6"/>
    <w:rsid w:val="00126D35"/>
    <w:rsid w:val="001374D4"/>
    <w:rsid w:val="00137D26"/>
    <w:rsid w:val="00146C07"/>
    <w:rsid w:val="00150B88"/>
    <w:rsid w:val="00172769"/>
    <w:rsid w:val="00175EAB"/>
    <w:rsid w:val="001855AF"/>
    <w:rsid w:val="00185D2A"/>
    <w:rsid w:val="001932D1"/>
    <w:rsid w:val="00196E8F"/>
    <w:rsid w:val="001B0667"/>
    <w:rsid w:val="001C36CE"/>
    <w:rsid w:val="001C50CA"/>
    <w:rsid w:val="001D5A2E"/>
    <w:rsid w:val="001E09ED"/>
    <w:rsid w:val="001F1648"/>
    <w:rsid w:val="00203538"/>
    <w:rsid w:val="002113C3"/>
    <w:rsid w:val="00216755"/>
    <w:rsid w:val="002505A3"/>
    <w:rsid w:val="00255001"/>
    <w:rsid w:val="00257D4E"/>
    <w:rsid w:val="0026092F"/>
    <w:rsid w:val="00276E2E"/>
    <w:rsid w:val="00290B0C"/>
    <w:rsid w:val="00291090"/>
    <w:rsid w:val="002A1789"/>
    <w:rsid w:val="002A2BE5"/>
    <w:rsid w:val="002B6814"/>
    <w:rsid w:val="002C3361"/>
    <w:rsid w:val="002C5851"/>
    <w:rsid w:val="002C788C"/>
    <w:rsid w:val="002E1371"/>
    <w:rsid w:val="002E68F4"/>
    <w:rsid w:val="002F0C85"/>
    <w:rsid w:val="003013BB"/>
    <w:rsid w:val="0030354B"/>
    <w:rsid w:val="003066D0"/>
    <w:rsid w:val="00322445"/>
    <w:rsid w:val="00327B35"/>
    <w:rsid w:val="00330ABB"/>
    <w:rsid w:val="00331E9E"/>
    <w:rsid w:val="00332661"/>
    <w:rsid w:val="00333EA4"/>
    <w:rsid w:val="00345EDE"/>
    <w:rsid w:val="0035632C"/>
    <w:rsid w:val="0035723A"/>
    <w:rsid w:val="00363414"/>
    <w:rsid w:val="003743D2"/>
    <w:rsid w:val="00375FEF"/>
    <w:rsid w:val="00384EB9"/>
    <w:rsid w:val="00391849"/>
    <w:rsid w:val="003951F0"/>
    <w:rsid w:val="0039650B"/>
    <w:rsid w:val="00396EAD"/>
    <w:rsid w:val="00397967"/>
    <w:rsid w:val="00397AF0"/>
    <w:rsid w:val="003A3CC5"/>
    <w:rsid w:val="003A3FBE"/>
    <w:rsid w:val="003B066D"/>
    <w:rsid w:val="003B27CB"/>
    <w:rsid w:val="003B5634"/>
    <w:rsid w:val="003D699D"/>
    <w:rsid w:val="003D7295"/>
    <w:rsid w:val="003E02F3"/>
    <w:rsid w:val="003E1AE9"/>
    <w:rsid w:val="003F4901"/>
    <w:rsid w:val="00400866"/>
    <w:rsid w:val="00406228"/>
    <w:rsid w:val="004122B7"/>
    <w:rsid w:val="00415B04"/>
    <w:rsid w:val="0041780C"/>
    <w:rsid w:val="004278DB"/>
    <w:rsid w:val="00436F6C"/>
    <w:rsid w:val="004408C0"/>
    <w:rsid w:val="00452601"/>
    <w:rsid w:val="00455BBB"/>
    <w:rsid w:val="00457552"/>
    <w:rsid w:val="004669A3"/>
    <w:rsid w:val="00471687"/>
    <w:rsid w:val="00475D0E"/>
    <w:rsid w:val="00475EC3"/>
    <w:rsid w:val="00491B3B"/>
    <w:rsid w:val="004A7AA8"/>
    <w:rsid w:val="004C2489"/>
    <w:rsid w:val="004C4C87"/>
    <w:rsid w:val="004D47A7"/>
    <w:rsid w:val="004D723E"/>
    <w:rsid w:val="004E66FE"/>
    <w:rsid w:val="004F2588"/>
    <w:rsid w:val="004F4BA0"/>
    <w:rsid w:val="004F5BF7"/>
    <w:rsid w:val="00504E7F"/>
    <w:rsid w:val="00522446"/>
    <w:rsid w:val="005250A2"/>
    <w:rsid w:val="00531EBF"/>
    <w:rsid w:val="00532D2F"/>
    <w:rsid w:val="005343EB"/>
    <w:rsid w:val="0054553C"/>
    <w:rsid w:val="00560070"/>
    <w:rsid w:val="0056399E"/>
    <w:rsid w:val="00563CA8"/>
    <w:rsid w:val="0058361C"/>
    <w:rsid w:val="005856CC"/>
    <w:rsid w:val="00591880"/>
    <w:rsid w:val="00592713"/>
    <w:rsid w:val="005B2ACB"/>
    <w:rsid w:val="005B4729"/>
    <w:rsid w:val="005B48B9"/>
    <w:rsid w:val="005B7930"/>
    <w:rsid w:val="005C65AA"/>
    <w:rsid w:val="005D5EF1"/>
    <w:rsid w:val="005E2077"/>
    <w:rsid w:val="005F741C"/>
    <w:rsid w:val="006009B6"/>
    <w:rsid w:val="00600F81"/>
    <w:rsid w:val="00606360"/>
    <w:rsid w:val="006169E2"/>
    <w:rsid w:val="0062597D"/>
    <w:rsid w:val="006423F2"/>
    <w:rsid w:val="00685F0D"/>
    <w:rsid w:val="00692732"/>
    <w:rsid w:val="00692B98"/>
    <w:rsid w:val="00693DC0"/>
    <w:rsid w:val="0069691E"/>
    <w:rsid w:val="006A5B5D"/>
    <w:rsid w:val="006D533C"/>
    <w:rsid w:val="006E3B03"/>
    <w:rsid w:val="006E441D"/>
    <w:rsid w:val="006E5B79"/>
    <w:rsid w:val="006E7698"/>
    <w:rsid w:val="006F58A2"/>
    <w:rsid w:val="007004E9"/>
    <w:rsid w:val="0071291E"/>
    <w:rsid w:val="007145EE"/>
    <w:rsid w:val="0071740C"/>
    <w:rsid w:val="00723CB7"/>
    <w:rsid w:val="00743631"/>
    <w:rsid w:val="00781ADD"/>
    <w:rsid w:val="007908F9"/>
    <w:rsid w:val="00797F32"/>
    <w:rsid w:val="007A521D"/>
    <w:rsid w:val="007B2CDF"/>
    <w:rsid w:val="007D7DFC"/>
    <w:rsid w:val="00801174"/>
    <w:rsid w:val="00805CEA"/>
    <w:rsid w:val="0081295C"/>
    <w:rsid w:val="0081357F"/>
    <w:rsid w:val="00831CC3"/>
    <w:rsid w:val="00835742"/>
    <w:rsid w:val="00835BEB"/>
    <w:rsid w:val="00844E38"/>
    <w:rsid w:val="00863405"/>
    <w:rsid w:val="008760AB"/>
    <w:rsid w:val="00885DD1"/>
    <w:rsid w:val="008A772E"/>
    <w:rsid w:val="008D1149"/>
    <w:rsid w:val="008D133B"/>
    <w:rsid w:val="008D3159"/>
    <w:rsid w:val="008D4570"/>
    <w:rsid w:val="008E167D"/>
    <w:rsid w:val="008E507F"/>
    <w:rsid w:val="008E5E9E"/>
    <w:rsid w:val="008F0379"/>
    <w:rsid w:val="009000D2"/>
    <w:rsid w:val="00914B28"/>
    <w:rsid w:val="00924CBA"/>
    <w:rsid w:val="0093552D"/>
    <w:rsid w:val="00937C3A"/>
    <w:rsid w:val="00941C57"/>
    <w:rsid w:val="009421C2"/>
    <w:rsid w:val="00943D25"/>
    <w:rsid w:val="00961EE8"/>
    <w:rsid w:val="00974C50"/>
    <w:rsid w:val="00981C21"/>
    <w:rsid w:val="009919D7"/>
    <w:rsid w:val="009A4946"/>
    <w:rsid w:val="009B13AF"/>
    <w:rsid w:val="009B6529"/>
    <w:rsid w:val="009C1545"/>
    <w:rsid w:val="009D2FA7"/>
    <w:rsid w:val="009D73A6"/>
    <w:rsid w:val="009E70E1"/>
    <w:rsid w:val="009F2DD4"/>
    <w:rsid w:val="009F33E3"/>
    <w:rsid w:val="00A02DDE"/>
    <w:rsid w:val="00A03C09"/>
    <w:rsid w:val="00A06135"/>
    <w:rsid w:val="00A13EB4"/>
    <w:rsid w:val="00A16263"/>
    <w:rsid w:val="00A20EEE"/>
    <w:rsid w:val="00A24903"/>
    <w:rsid w:val="00A30686"/>
    <w:rsid w:val="00A32689"/>
    <w:rsid w:val="00A3546A"/>
    <w:rsid w:val="00A37792"/>
    <w:rsid w:val="00A37E71"/>
    <w:rsid w:val="00A419DD"/>
    <w:rsid w:val="00A426B3"/>
    <w:rsid w:val="00A47D78"/>
    <w:rsid w:val="00A519B3"/>
    <w:rsid w:val="00A52469"/>
    <w:rsid w:val="00A57EBF"/>
    <w:rsid w:val="00A60E1B"/>
    <w:rsid w:val="00A6482A"/>
    <w:rsid w:val="00A71560"/>
    <w:rsid w:val="00A741EE"/>
    <w:rsid w:val="00A7577D"/>
    <w:rsid w:val="00A83206"/>
    <w:rsid w:val="00A83789"/>
    <w:rsid w:val="00A85708"/>
    <w:rsid w:val="00A95235"/>
    <w:rsid w:val="00A95406"/>
    <w:rsid w:val="00A97A7F"/>
    <w:rsid w:val="00AA1EF6"/>
    <w:rsid w:val="00AB1F49"/>
    <w:rsid w:val="00AB245B"/>
    <w:rsid w:val="00AB362D"/>
    <w:rsid w:val="00AB4F85"/>
    <w:rsid w:val="00AE1BC5"/>
    <w:rsid w:val="00AE2181"/>
    <w:rsid w:val="00B26DE8"/>
    <w:rsid w:val="00B31EA9"/>
    <w:rsid w:val="00B32476"/>
    <w:rsid w:val="00B40F0F"/>
    <w:rsid w:val="00B438FA"/>
    <w:rsid w:val="00B559A0"/>
    <w:rsid w:val="00B62F55"/>
    <w:rsid w:val="00B63095"/>
    <w:rsid w:val="00B67BB8"/>
    <w:rsid w:val="00B73A9E"/>
    <w:rsid w:val="00B771B7"/>
    <w:rsid w:val="00B816F4"/>
    <w:rsid w:val="00B870EC"/>
    <w:rsid w:val="00B911EF"/>
    <w:rsid w:val="00BA5F89"/>
    <w:rsid w:val="00BB6D28"/>
    <w:rsid w:val="00BC73C3"/>
    <w:rsid w:val="00BD0496"/>
    <w:rsid w:val="00BD2756"/>
    <w:rsid w:val="00BD4CA4"/>
    <w:rsid w:val="00BF5203"/>
    <w:rsid w:val="00C04673"/>
    <w:rsid w:val="00C12068"/>
    <w:rsid w:val="00C174E5"/>
    <w:rsid w:val="00C20E38"/>
    <w:rsid w:val="00C348C8"/>
    <w:rsid w:val="00C50180"/>
    <w:rsid w:val="00C528E2"/>
    <w:rsid w:val="00C55412"/>
    <w:rsid w:val="00C65B32"/>
    <w:rsid w:val="00C7000C"/>
    <w:rsid w:val="00C7423D"/>
    <w:rsid w:val="00C86436"/>
    <w:rsid w:val="00CA6010"/>
    <w:rsid w:val="00CA6FDF"/>
    <w:rsid w:val="00CA7B53"/>
    <w:rsid w:val="00CB11A0"/>
    <w:rsid w:val="00CC7C05"/>
    <w:rsid w:val="00D03CC8"/>
    <w:rsid w:val="00D07426"/>
    <w:rsid w:val="00D172CA"/>
    <w:rsid w:val="00D52294"/>
    <w:rsid w:val="00D54049"/>
    <w:rsid w:val="00D55C54"/>
    <w:rsid w:val="00D644BD"/>
    <w:rsid w:val="00D706CB"/>
    <w:rsid w:val="00D71A11"/>
    <w:rsid w:val="00D72766"/>
    <w:rsid w:val="00D8684E"/>
    <w:rsid w:val="00D908A8"/>
    <w:rsid w:val="00D96F31"/>
    <w:rsid w:val="00DA120C"/>
    <w:rsid w:val="00DA7016"/>
    <w:rsid w:val="00DB3FBB"/>
    <w:rsid w:val="00DC3A21"/>
    <w:rsid w:val="00DD1479"/>
    <w:rsid w:val="00DD404C"/>
    <w:rsid w:val="00DD58E3"/>
    <w:rsid w:val="00E2594B"/>
    <w:rsid w:val="00E2746A"/>
    <w:rsid w:val="00E3286B"/>
    <w:rsid w:val="00E33D84"/>
    <w:rsid w:val="00E3651D"/>
    <w:rsid w:val="00E431DA"/>
    <w:rsid w:val="00E5511B"/>
    <w:rsid w:val="00E55D29"/>
    <w:rsid w:val="00E56013"/>
    <w:rsid w:val="00E64D6C"/>
    <w:rsid w:val="00E827D8"/>
    <w:rsid w:val="00E82A4F"/>
    <w:rsid w:val="00E85D81"/>
    <w:rsid w:val="00EA3DE7"/>
    <w:rsid w:val="00EC24A8"/>
    <w:rsid w:val="00EC32A0"/>
    <w:rsid w:val="00EC5E91"/>
    <w:rsid w:val="00ED43C0"/>
    <w:rsid w:val="00ED6EC1"/>
    <w:rsid w:val="00EE6B55"/>
    <w:rsid w:val="00EF6242"/>
    <w:rsid w:val="00EF7301"/>
    <w:rsid w:val="00F04E2A"/>
    <w:rsid w:val="00F1599A"/>
    <w:rsid w:val="00F15B86"/>
    <w:rsid w:val="00F21317"/>
    <w:rsid w:val="00F23523"/>
    <w:rsid w:val="00F278A7"/>
    <w:rsid w:val="00F371AA"/>
    <w:rsid w:val="00F443BC"/>
    <w:rsid w:val="00F45A6E"/>
    <w:rsid w:val="00F57259"/>
    <w:rsid w:val="00F629F1"/>
    <w:rsid w:val="00F70127"/>
    <w:rsid w:val="00F70AFD"/>
    <w:rsid w:val="00F752C7"/>
    <w:rsid w:val="00F87415"/>
    <w:rsid w:val="00F95727"/>
    <w:rsid w:val="00FA2CBB"/>
    <w:rsid w:val="00FB1E2E"/>
    <w:rsid w:val="00FB7F9C"/>
    <w:rsid w:val="00FC3E62"/>
    <w:rsid w:val="00FC71E7"/>
    <w:rsid w:val="00FD592D"/>
    <w:rsid w:val="00FE34B2"/>
    <w:rsid w:val="00FE51B9"/>
    <w:rsid w:val="00FF55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F0162F"/>
  <w15:docId w15:val="{0841B1A1-74F8-4961-8462-2908F1F9B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6529"/>
    <w:rPr>
      <w:lang w:eastAsia="ja-JP"/>
    </w:rPr>
  </w:style>
  <w:style w:type="paragraph" w:styleId="Heading1">
    <w:name w:val="heading 1"/>
    <w:basedOn w:val="Normal"/>
    <w:next w:val="Normal"/>
    <w:link w:val="Heading1Char"/>
    <w:autoRedefine/>
    <w:rsid w:val="006A5B5D"/>
    <w:pPr>
      <w:keepNext/>
      <w:spacing w:before="240" w:after="240" w:line="240" w:lineRule="auto"/>
      <w:outlineLvl w:val="0"/>
    </w:pPr>
    <w:rPr>
      <w:rFonts w:eastAsia="MS Mincho" w:cs="Times New Roman"/>
      <w:iCs/>
      <w:color w:val="0083C1" w:themeColor="background1"/>
      <w:kern w:val="32"/>
      <w:sz w:val="36"/>
      <w:szCs w:val="28"/>
      <w:lang w:val="en-GB"/>
    </w:rPr>
  </w:style>
  <w:style w:type="paragraph" w:styleId="Heading2">
    <w:name w:val="heading 2"/>
    <w:basedOn w:val="Normal"/>
    <w:next w:val="Normal"/>
    <w:link w:val="Heading2Char"/>
    <w:rsid w:val="00391849"/>
    <w:pPr>
      <w:keepNext/>
      <w:spacing w:before="240" w:after="60"/>
      <w:outlineLvl w:val="1"/>
    </w:pPr>
    <w:rPr>
      <w:rFonts w:eastAsia="MS Mincho" w:cs="Times New Roman"/>
      <w:bCs/>
      <w:iCs/>
      <w:color w:val="5F5F5F" w:themeColor="background2"/>
      <w:sz w:val="28"/>
      <w:szCs w:val="28"/>
      <w:lang w:val="en-GB"/>
    </w:rPr>
  </w:style>
  <w:style w:type="paragraph" w:styleId="Heading3">
    <w:name w:val="heading 3"/>
    <w:basedOn w:val="Normal"/>
    <w:next w:val="Normal"/>
    <w:link w:val="Heading3Char"/>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137D26"/>
    <w:pPr>
      <w:keepNext/>
      <w:spacing w:before="240" w:after="60" w:line="240" w:lineRule="auto"/>
      <w:outlineLvl w:val="3"/>
    </w:pPr>
    <w:rPr>
      <w:rFonts w:eastAsia="MS Mincho" w:cs="Times New Roman"/>
      <w:bCs/>
      <w:color w:val="0083C1" w:themeColor="background1"/>
      <w:sz w:val="36"/>
      <w:szCs w:val="36"/>
      <w:lang w:val="en-GB"/>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6A5B5D"/>
    <w:rPr>
      <w:rFonts w:eastAsia="MS Mincho" w:cs="Times New Roman"/>
      <w:iCs/>
      <w:color w:val="0083C1" w:themeColor="background1"/>
      <w:kern w:val="32"/>
      <w:sz w:val="36"/>
      <w:szCs w:val="28"/>
      <w:lang w:val="en-GB" w:eastAsia="ja-JP"/>
    </w:rPr>
  </w:style>
  <w:style w:type="character" w:customStyle="1" w:styleId="Heading2Char">
    <w:name w:val="Heading 2 Char"/>
    <w:basedOn w:val="DefaultParagraphFont"/>
    <w:link w:val="Heading2"/>
    <w:rsid w:val="00391849"/>
    <w:rPr>
      <w:rFonts w:eastAsia="MS Mincho" w:cs="Times New Roman"/>
      <w:bCs/>
      <w:iCs/>
      <w:color w:val="5F5F5F" w:themeColor="background2"/>
      <w:sz w:val="28"/>
      <w:szCs w:val="28"/>
      <w:lang w:val="en-GB" w:eastAsia="ja-JP"/>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137D26"/>
    <w:rPr>
      <w:rFonts w:eastAsia="MS Mincho" w:cs="Times New Roman"/>
      <w:bCs/>
      <w:color w:val="0083C1" w:themeColor="background1"/>
      <w:sz w:val="36"/>
      <w:szCs w:val="36"/>
      <w:lang w:val="en-GB" w:eastAsia="ja-JP"/>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paragraph" w:customStyle="1" w:styleId="Headline">
    <w:name w:val="Headline"/>
    <w:basedOn w:val="Heading1"/>
    <w:link w:val="HeadlineChar"/>
    <w:qFormat/>
    <w:rsid w:val="006A5B5D"/>
  </w:style>
  <w:style w:type="paragraph" w:customStyle="1" w:styleId="Introduction">
    <w:name w:val="Introduction"/>
    <w:basedOn w:val="Heading2"/>
    <w:link w:val="IntroductionChar"/>
    <w:qFormat/>
    <w:rsid w:val="008A772E"/>
    <w:pPr>
      <w:spacing w:after="240"/>
    </w:pPr>
  </w:style>
  <w:style w:type="paragraph" w:customStyle="1" w:styleId="Subheading">
    <w:name w:val="Subheading"/>
    <w:basedOn w:val="Heading4"/>
    <w:link w:val="SubheadingChar"/>
    <w:qFormat/>
    <w:rsid w:val="006A5B5D"/>
    <w:pPr>
      <w:spacing w:after="240" w:line="276" w:lineRule="auto"/>
    </w:pPr>
    <w:rPr>
      <w:sz w:val="24"/>
      <w:szCs w:val="24"/>
    </w:rPr>
  </w:style>
  <w:style w:type="character" w:customStyle="1" w:styleId="IntroductionChar">
    <w:name w:val="Introduction Char"/>
    <w:basedOn w:val="Heading2Char"/>
    <w:link w:val="Introduction"/>
    <w:rsid w:val="008A772E"/>
    <w:rPr>
      <w:rFonts w:eastAsia="MS Mincho" w:cs="Times New Roman"/>
      <w:bCs/>
      <w:iCs/>
      <w:color w:val="5F5F5F" w:themeColor="background2"/>
      <w:sz w:val="28"/>
      <w:szCs w:val="28"/>
      <w:lang w:val="en-GB" w:eastAsia="ja-JP"/>
    </w:rPr>
  </w:style>
  <w:style w:type="paragraph" w:customStyle="1" w:styleId="BodyCopy">
    <w:name w:val="Body Copy"/>
    <w:basedOn w:val="Normal"/>
    <w:link w:val="BodyCopyChar"/>
    <w:qFormat/>
    <w:rsid w:val="006A5B5D"/>
    <w:pPr>
      <w:spacing w:before="120" w:after="120"/>
    </w:pPr>
  </w:style>
  <w:style w:type="character" w:customStyle="1" w:styleId="SubheadingChar">
    <w:name w:val="Subheading Char"/>
    <w:basedOn w:val="Heading4Char"/>
    <w:link w:val="Subheading"/>
    <w:rsid w:val="006A5B5D"/>
    <w:rPr>
      <w:rFonts w:eastAsia="MS Mincho" w:cs="Times New Roman"/>
      <w:bCs/>
      <w:color w:val="0083C1" w:themeColor="background1"/>
      <w:sz w:val="24"/>
      <w:szCs w:val="24"/>
      <w:lang w:val="en-GB" w:eastAsia="ja-JP"/>
    </w:rPr>
  </w:style>
  <w:style w:type="character" w:customStyle="1" w:styleId="BodyCopyChar">
    <w:name w:val="Body Copy Char"/>
    <w:basedOn w:val="DefaultParagraphFont"/>
    <w:link w:val="BodyCopy"/>
    <w:rsid w:val="006A5B5D"/>
    <w:rPr>
      <w:lang w:eastAsia="ja-JP"/>
    </w:rPr>
  </w:style>
  <w:style w:type="character" w:customStyle="1" w:styleId="HeadlineChar">
    <w:name w:val="Headline Char"/>
    <w:basedOn w:val="Heading1Char"/>
    <w:link w:val="Headline"/>
    <w:rsid w:val="006A5B5D"/>
    <w:rPr>
      <w:rFonts w:eastAsia="MS Mincho" w:cs="Times New Roman"/>
      <w:iCs/>
      <w:color w:val="0083C1" w:themeColor="background1"/>
      <w:kern w:val="32"/>
      <w:sz w:val="36"/>
      <w:szCs w:val="28"/>
      <w:lang w:val="en-GB" w:eastAsia="ja-JP"/>
    </w:rPr>
  </w:style>
  <w:style w:type="character" w:styleId="UnresolvedMention">
    <w:name w:val="Unresolved Mention"/>
    <w:basedOn w:val="DefaultParagraphFont"/>
    <w:uiPriority w:val="99"/>
    <w:semiHidden/>
    <w:unhideWhenUsed/>
    <w:rsid w:val="0069691E"/>
    <w:rPr>
      <w:color w:val="605E5C"/>
      <w:shd w:val="clear" w:color="auto" w:fill="E1DFDD"/>
    </w:rPr>
  </w:style>
  <w:style w:type="paragraph" w:styleId="ListBullet">
    <w:name w:val="List Bullet"/>
    <w:basedOn w:val="Normal"/>
    <w:uiPriority w:val="99"/>
    <w:unhideWhenUsed/>
    <w:rsid w:val="00196E8F"/>
    <w:pPr>
      <w:numPr>
        <w:numId w:val="2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7859956">
      <w:bodyDiv w:val="1"/>
      <w:marLeft w:val="0"/>
      <w:marRight w:val="0"/>
      <w:marTop w:val="0"/>
      <w:marBottom w:val="0"/>
      <w:divBdr>
        <w:top w:val="none" w:sz="0" w:space="0" w:color="auto"/>
        <w:left w:val="none" w:sz="0" w:space="0" w:color="auto"/>
        <w:bottom w:val="none" w:sz="0" w:space="0" w:color="auto"/>
        <w:right w:val="none" w:sz="0" w:space="0" w:color="auto"/>
      </w:divBdr>
    </w:div>
    <w:div w:id="590241313">
      <w:bodyDiv w:val="1"/>
      <w:marLeft w:val="0"/>
      <w:marRight w:val="0"/>
      <w:marTop w:val="0"/>
      <w:marBottom w:val="0"/>
      <w:divBdr>
        <w:top w:val="none" w:sz="0" w:space="0" w:color="auto"/>
        <w:left w:val="none" w:sz="0" w:space="0" w:color="auto"/>
        <w:bottom w:val="none" w:sz="0" w:space="0" w:color="auto"/>
        <w:right w:val="none" w:sz="0" w:space="0" w:color="auto"/>
      </w:divBdr>
    </w:div>
    <w:div w:id="1651980026">
      <w:bodyDiv w:val="1"/>
      <w:marLeft w:val="0"/>
      <w:marRight w:val="0"/>
      <w:marTop w:val="0"/>
      <w:marBottom w:val="0"/>
      <w:divBdr>
        <w:top w:val="none" w:sz="0" w:space="0" w:color="auto"/>
        <w:left w:val="none" w:sz="0" w:space="0" w:color="auto"/>
        <w:bottom w:val="none" w:sz="0" w:space="0" w:color="auto"/>
        <w:right w:val="none" w:sz="0" w:space="0" w:color="auto"/>
      </w:divBdr>
    </w:div>
    <w:div w:id="1690988014">
      <w:bodyDiv w:val="1"/>
      <w:marLeft w:val="0"/>
      <w:marRight w:val="0"/>
      <w:marTop w:val="0"/>
      <w:marBottom w:val="0"/>
      <w:divBdr>
        <w:top w:val="none" w:sz="0" w:space="0" w:color="auto"/>
        <w:left w:val="none" w:sz="0" w:space="0" w:color="auto"/>
        <w:bottom w:val="none" w:sz="0" w:space="0" w:color="auto"/>
        <w:right w:val="none" w:sz="0" w:space="0" w:color="auto"/>
      </w:divBdr>
    </w:div>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ikin-News@sheremarketing.co.u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nergylabel.daikin.eu/eu/en_US/lot21.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aikin.eu/en_us/about/daikin-innovations/seasonal-efficiency.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2" Type="http://schemas.openxmlformats.org/officeDocument/2006/relationships/hyperlink" Target="http://www.daikin.eu" TargetMode="External"/><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BF5D7-2BC0-47EB-89E4-4677D389D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1108</Words>
  <Characters>6317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DENV release template</vt:lpstr>
    </vt:vector>
  </TitlesOfParts>
  <Company>Daikin Europe NV</Company>
  <LinksUpToDate>false</LinksUpToDate>
  <CharactersWithSpaces>7411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DENV release template</dc:title>
  <dc:creator>Gill De Bruyne</dc:creator>
  <cp:lastModifiedBy>Gill De Bruyne</cp:lastModifiedBy>
  <cp:revision>4</cp:revision>
  <cp:lastPrinted>2016-05-31T11:31:00Z</cp:lastPrinted>
  <dcterms:created xsi:type="dcterms:W3CDTF">2019-02-20T10:42:00Z</dcterms:created>
  <dcterms:modified xsi:type="dcterms:W3CDTF">2019-02-21T13:34:00Z</dcterms:modified>
</cp:coreProperties>
</file>